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6E3B0A1C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#105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R2-1</w:t>
      </w:r>
      <w:r w:rsidR="007B27B4">
        <w:rPr>
          <w:rFonts w:ascii="Arial" w:hAnsi="Arial" w:cs="Arial"/>
          <w:b/>
          <w:bCs/>
          <w:color w:val="000000"/>
          <w:sz w:val="26"/>
          <w:szCs w:val="26"/>
        </w:rPr>
        <w:t>900</w:t>
      </w:r>
      <w:r w:rsidR="00B741A8">
        <w:rPr>
          <w:rFonts w:ascii="Arial" w:hAnsi="Arial" w:cs="Arial"/>
          <w:b/>
          <w:bCs/>
          <w:color w:val="000000"/>
          <w:sz w:val="26"/>
          <w:szCs w:val="26"/>
        </w:rPr>
        <w:t>113</w:t>
      </w:r>
    </w:p>
    <w:p w14:paraId="55C39378" w14:textId="77777777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Athens, Greece, Feb 25</w:t>
      </w:r>
      <w:r w:rsidRPr="0069276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March 1</w:t>
      </w:r>
      <w:r w:rsidRPr="00CD3C8C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>,</w:t>
      </w:r>
      <w:r w:rsidRPr="00383F56">
        <w:rPr>
          <w:rFonts w:ascii="Arial" w:hAnsi="Arial"/>
          <w:b/>
          <w:sz w:val="24"/>
          <w:szCs w:val="24"/>
          <w:lang w:eastAsia="zh-CN"/>
        </w:rPr>
        <w:t xml:space="preserve"> 201</w:t>
      </w:r>
      <w:r>
        <w:rPr>
          <w:rFonts w:ascii="Arial" w:hAnsi="Arial"/>
          <w:b/>
          <w:sz w:val="24"/>
          <w:szCs w:val="24"/>
          <w:lang w:eastAsia="zh-CN"/>
        </w:rPr>
        <w:t>9</w:t>
      </w: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615F9465" w:rsidR="007A69A5" w:rsidRPr="006D3016" w:rsidRDefault="007A69A5" w:rsidP="007A69A5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Pr="007B7135">
        <w:rPr>
          <w:rFonts w:ascii="Arial" w:eastAsia="MS Mincho" w:hAnsi="Arial" w:cs="Arial"/>
          <w:b/>
          <w:bCs/>
          <w:sz w:val="24"/>
        </w:rPr>
        <w:t>11.10.</w:t>
      </w:r>
      <w:r w:rsidR="00177AD4">
        <w:rPr>
          <w:rFonts w:ascii="Arial" w:eastAsia="MS Mincho" w:hAnsi="Arial" w:cs="Arial"/>
          <w:b/>
          <w:bCs/>
          <w:sz w:val="24"/>
        </w:rPr>
        <w:t>5</w:t>
      </w:r>
    </w:p>
    <w:p w14:paraId="238C61C0" w14:textId="77777777" w:rsidR="007A69A5" w:rsidRPr="006D3016" w:rsidRDefault="007A69A5" w:rsidP="007A69A5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3189A18C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093832">
        <w:rPr>
          <w:rFonts w:ascii="Arial" w:eastAsia="Times New Roman" w:hAnsi="Arial" w:cs="Arial"/>
          <w:b/>
          <w:bCs/>
          <w:sz w:val="24"/>
        </w:rPr>
        <w:t>Fast Recovery</w:t>
      </w:r>
      <w:r w:rsidR="00DB20BC">
        <w:rPr>
          <w:rFonts w:ascii="Arial" w:eastAsia="Times New Roman" w:hAnsi="Arial" w:cs="Arial"/>
          <w:b/>
          <w:bCs/>
          <w:sz w:val="24"/>
        </w:rPr>
        <w:t xml:space="preserve"> from MCG failure</w:t>
      </w:r>
    </w:p>
    <w:p w14:paraId="44351AFC" w14:textId="6E34B654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proofErr w:type="spellStart"/>
      <w:r w:rsidR="008553D2" w:rsidRPr="006A3F85">
        <w:rPr>
          <w:rFonts w:ascii="Arial" w:eastAsia="Times New Roman" w:hAnsi="Arial" w:cs="Arial"/>
          <w:b/>
          <w:bCs/>
          <w:sz w:val="24"/>
        </w:rPr>
        <w:t>LTE_NR_DC_CA_enh</w:t>
      </w:r>
      <w:proofErr w:type="spellEnd"/>
      <w:r w:rsidR="008553D2" w:rsidRPr="006A3F85">
        <w:rPr>
          <w:rFonts w:ascii="Arial" w:eastAsia="Times New Roman" w:hAnsi="Arial" w:cs="Arial"/>
          <w:b/>
          <w:bCs/>
          <w:sz w:val="24"/>
        </w:rPr>
        <w:t>-Core</w:t>
      </w:r>
      <w:r w:rsidR="008553D2">
        <w:rPr>
          <w:rFonts w:ascii="Arial" w:eastAsia="Times New Roman" w:hAnsi="Arial" w:cs="Arial"/>
          <w:b/>
          <w:bCs/>
          <w:sz w:val="24"/>
        </w:rPr>
        <w:t xml:space="preserve"> – Release 16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1C1634BD" w14:textId="7ED818E4" w:rsidR="00026268" w:rsidRDefault="00DB20BC" w:rsidP="00E85CB2">
      <w:r>
        <w:t xml:space="preserve">This document addresses the </w:t>
      </w:r>
      <w:r w:rsidR="00026268">
        <w:t xml:space="preserve">following </w:t>
      </w:r>
      <w:r>
        <w:t>topic</w:t>
      </w:r>
      <w:r w:rsidR="00026268">
        <w:t xml:space="preserve"> </w:t>
      </w:r>
      <w:r>
        <w:t xml:space="preserve">in the Rel-16 WI on </w:t>
      </w:r>
      <w:r w:rsidR="007E00F0">
        <w:t>“</w:t>
      </w:r>
      <w:r>
        <w:t>Multi-RAT Dual Connectivity and Carrier Aggregation enhancements</w:t>
      </w:r>
      <w:r w:rsidR="007E00F0">
        <w:t>”</w:t>
      </w:r>
      <w:r w:rsidR="00026268">
        <w:t>, described in the WI document [</w:t>
      </w:r>
      <w:r w:rsidR="00A66236">
        <w:t>1</w:t>
      </w:r>
      <w:r w:rsidR="00026268">
        <w:t>] as follows:</w:t>
      </w:r>
    </w:p>
    <w:p w14:paraId="43D4F6F7" w14:textId="72BC909D" w:rsidR="00FE0D57" w:rsidRDefault="00FE0D57" w:rsidP="00E85CB2">
      <w:pPr>
        <w:rPr>
          <w:lang w:val="en-US"/>
        </w:rPr>
      </w:pPr>
      <w:r w:rsidRPr="00FE0D57">
        <w:rPr>
          <w:lang w:val="en-US"/>
        </w:rPr>
        <w:t>“</w:t>
      </w:r>
      <w:r w:rsidRPr="006E2DF7">
        <w:rPr>
          <w:b/>
          <w:lang w:val="en-US"/>
        </w:rPr>
        <w:t xml:space="preserve">Fast recovery: </w:t>
      </w:r>
      <w:r>
        <w:rPr>
          <w:lang w:val="en-US"/>
        </w:rPr>
        <w:t>Support fast recovery of MCG link e.g. by utilizing the SCG link and split SRBs for recovery during MCG failure while operating under MR-DC. [RAN2, RAN3]</w:t>
      </w:r>
    </w:p>
    <w:p w14:paraId="527FB551" w14:textId="32987709" w:rsidR="00E85CB2" w:rsidRPr="00FE0D57" w:rsidRDefault="00FE0D57" w:rsidP="00FE0D57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bCs/>
          <w:lang w:val="en-US"/>
        </w:rPr>
      </w:pPr>
      <w:r>
        <w:rPr>
          <w:bCs/>
          <w:lang w:val="en-US"/>
        </w:rPr>
        <w:t>This objective applies to MR-DC and NR-NR DC.”</w:t>
      </w:r>
    </w:p>
    <w:p w14:paraId="5D3F2DE9" w14:textId="1772C0A5" w:rsidR="00512905" w:rsidRPr="00512905" w:rsidRDefault="006254E6" w:rsidP="00512905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Fast Recovery procedure</w:t>
      </w:r>
    </w:p>
    <w:p w14:paraId="477657CC" w14:textId="5239BEEF" w:rsidR="00254273" w:rsidRPr="001E66ED" w:rsidRDefault="001E66ED" w:rsidP="00CB1079">
      <w:pPr>
        <w:pStyle w:val="Caption"/>
        <w:rPr>
          <w:i w:val="0"/>
          <w:color w:val="auto"/>
          <w:sz w:val="20"/>
          <w:szCs w:val="20"/>
        </w:rPr>
      </w:pPr>
      <w:bookmarkStart w:id="1" w:name="_Ref535308766"/>
      <w:bookmarkStart w:id="2" w:name="_Ref535492080"/>
      <w:r>
        <w:rPr>
          <w:i w:val="0"/>
          <w:color w:val="auto"/>
          <w:sz w:val="20"/>
          <w:szCs w:val="20"/>
        </w:rPr>
        <w:t xml:space="preserve">In </w:t>
      </w:r>
      <w:r w:rsidR="00A870EB">
        <w:rPr>
          <w:i w:val="0"/>
          <w:color w:val="auto"/>
          <w:sz w:val="20"/>
          <w:szCs w:val="20"/>
        </w:rPr>
        <w:t xml:space="preserve">3GPP </w:t>
      </w:r>
      <w:r>
        <w:rPr>
          <w:i w:val="0"/>
          <w:color w:val="auto"/>
          <w:sz w:val="20"/>
          <w:szCs w:val="20"/>
        </w:rPr>
        <w:t>Rel</w:t>
      </w:r>
      <w:r w:rsidR="00A870EB">
        <w:rPr>
          <w:i w:val="0"/>
          <w:color w:val="auto"/>
          <w:sz w:val="20"/>
          <w:szCs w:val="20"/>
        </w:rPr>
        <w:t xml:space="preserve">ease </w:t>
      </w:r>
      <w:r>
        <w:rPr>
          <w:i w:val="0"/>
          <w:color w:val="auto"/>
          <w:sz w:val="20"/>
          <w:szCs w:val="20"/>
        </w:rPr>
        <w:t>15, in all MR-DC systems (EN-DC, NE-DC, NGEN-DC, and NR-NR DC), upon detection of MCG link failure, UE releases the SCG besides the MCG and performs the RRC re-establishment procedure, even when the link to the SN is still available.</w:t>
      </w:r>
    </w:p>
    <w:p w14:paraId="639857B5" w14:textId="781B3969" w:rsidR="00167317" w:rsidRPr="004F3FC3" w:rsidRDefault="00CB1079" w:rsidP="00CB1079">
      <w:pPr>
        <w:pStyle w:val="Caption"/>
        <w:rPr>
          <w:b/>
          <w:i w:val="0"/>
          <w:color w:val="auto"/>
          <w:sz w:val="20"/>
          <w:szCs w:val="20"/>
        </w:rPr>
      </w:pPr>
      <w:r w:rsidRPr="00F973FC">
        <w:rPr>
          <w:b/>
          <w:i w:val="0"/>
          <w:color w:val="0070C0"/>
          <w:sz w:val="20"/>
          <w:szCs w:val="20"/>
        </w:rPr>
        <w:t xml:space="preserve">Observation </w:t>
      </w:r>
      <w:r w:rsidRPr="00F973FC">
        <w:rPr>
          <w:b/>
          <w:i w:val="0"/>
          <w:color w:val="0070C0"/>
          <w:sz w:val="20"/>
          <w:szCs w:val="20"/>
        </w:rPr>
        <w:fldChar w:fldCharType="begin"/>
      </w:r>
      <w:r w:rsidRPr="00F973FC">
        <w:rPr>
          <w:b/>
          <w:i w:val="0"/>
          <w:color w:val="0070C0"/>
          <w:sz w:val="20"/>
          <w:szCs w:val="20"/>
        </w:rPr>
        <w:instrText xml:space="preserve"> SEQ Observation \* ARABIC </w:instrText>
      </w:r>
      <w:r w:rsidRPr="00F973FC">
        <w:rPr>
          <w:b/>
          <w:i w:val="0"/>
          <w:color w:val="0070C0"/>
          <w:sz w:val="20"/>
          <w:szCs w:val="20"/>
        </w:rPr>
        <w:fldChar w:fldCharType="separate"/>
      </w:r>
      <w:r w:rsidR="00E82C5D" w:rsidRPr="00F973FC">
        <w:rPr>
          <w:b/>
          <w:i w:val="0"/>
          <w:noProof/>
          <w:color w:val="0070C0"/>
          <w:sz w:val="20"/>
          <w:szCs w:val="20"/>
        </w:rPr>
        <w:t>1</w:t>
      </w:r>
      <w:r w:rsidRPr="00F973FC">
        <w:rPr>
          <w:b/>
          <w:i w:val="0"/>
          <w:color w:val="0070C0"/>
          <w:sz w:val="20"/>
          <w:szCs w:val="20"/>
        </w:rPr>
        <w:fldChar w:fldCharType="end"/>
      </w:r>
      <w:r w:rsidRPr="00F973FC">
        <w:rPr>
          <w:b/>
          <w:i w:val="0"/>
          <w:color w:val="0070C0"/>
          <w:sz w:val="20"/>
          <w:szCs w:val="20"/>
        </w:rPr>
        <w:t>.</w:t>
      </w:r>
      <w:r w:rsidRPr="00F973FC">
        <w:rPr>
          <w:b/>
          <w:i w:val="0"/>
          <w:color w:val="auto"/>
          <w:sz w:val="20"/>
          <w:szCs w:val="20"/>
        </w:rPr>
        <w:t xml:space="preserve"> </w:t>
      </w:r>
      <w:bookmarkEnd w:id="1"/>
      <w:bookmarkEnd w:id="2"/>
      <w:r w:rsidR="00F973FC" w:rsidRPr="00F973FC">
        <w:rPr>
          <w:rFonts w:eastAsia="Times New Roman"/>
          <w:b/>
          <w:i w:val="0"/>
          <w:color w:val="auto"/>
          <w:sz w:val="20"/>
          <w:szCs w:val="20"/>
        </w:rPr>
        <w:t>In MR-DC systems, upon detection of MCG link failure, UE releases the SCG and performs the RRC re-establishment procedure, even when the link to the SN is still available.</w:t>
      </w:r>
      <w:r w:rsidR="00167317" w:rsidRPr="004F3FC3">
        <w:rPr>
          <w:b/>
          <w:i w:val="0"/>
          <w:color w:val="auto"/>
          <w:sz w:val="20"/>
          <w:szCs w:val="20"/>
        </w:rPr>
        <w:t xml:space="preserve"> </w:t>
      </w:r>
    </w:p>
    <w:p w14:paraId="5A4CC900" w14:textId="3CFA6AC8" w:rsidR="006254E6" w:rsidRDefault="00CB1079" w:rsidP="006254E6">
      <w:pPr>
        <w:spacing w:after="0"/>
        <w:rPr>
          <w:rFonts w:eastAsia="Times New Roman"/>
          <w:b/>
        </w:rPr>
      </w:pPr>
      <w:bookmarkStart w:id="3" w:name="_Ref535308770"/>
      <w:bookmarkStart w:id="4" w:name="_Ref535492087"/>
      <w:r w:rsidRPr="00F973FC">
        <w:rPr>
          <w:b/>
          <w:color w:val="0070C0"/>
        </w:rPr>
        <w:t xml:space="preserve">Observation </w:t>
      </w:r>
      <w:r w:rsidRPr="00F973FC">
        <w:rPr>
          <w:b/>
          <w:i/>
          <w:color w:val="0070C0"/>
        </w:rPr>
        <w:fldChar w:fldCharType="begin"/>
      </w:r>
      <w:r w:rsidRPr="00F973FC">
        <w:rPr>
          <w:b/>
          <w:color w:val="0070C0"/>
        </w:rPr>
        <w:instrText xml:space="preserve"> SEQ Observation \* ARABIC </w:instrText>
      </w:r>
      <w:r w:rsidRPr="00F973FC">
        <w:rPr>
          <w:b/>
          <w:i/>
          <w:color w:val="0070C0"/>
        </w:rPr>
        <w:fldChar w:fldCharType="separate"/>
      </w:r>
      <w:r w:rsidR="00E82C5D" w:rsidRPr="00F973FC">
        <w:rPr>
          <w:b/>
          <w:noProof/>
          <w:color w:val="0070C0"/>
        </w:rPr>
        <w:t>2</w:t>
      </w:r>
      <w:r w:rsidRPr="00F973FC">
        <w:rPr>
          <w:b/>
          <w:i/>
          <w:color w:val="0070C0"/>
        </w:rPr>
        <w:fldChar w:fldCharType="end"/>
      </w:r>
      <w:r w:rsidRPr="00F973FC">
        <w:rPr>
          <w:b/>
          <w:color w:val="0070C0"/>
        </w:rPr>
        <w:t>.</w:t>
      </w:r>
      <w:r w:rsidRPr="00CB1079">
        <w:rPr>
          <w:b/>
        </w:rPr>
        <w:t xml:space="preserve"> </w:t>
      </w:r>
      <w:bookmarkEnd w:id="3"/>
      <w:bookmarkEnd w:id="4"/>
      <w:r w:rsidR="00F973FC" w:rsidRPr="00F973FC">
        <w:rPr>
          <w:rFonts w:eastAsia="Times New Roman"/>
          <w:b/>
        </w:rPr>
        <w:t>Split SRBs were introduced in MR-DC systems for SRB1 and SRB2 bearers for signal</w:t>
      </w:r>
      <w:r w:rsidR="003C7B67">
        <w:rPr>
          <w:rFonts w:eastAsia="Times New Roman"/>
          <w:b/>
        </w:rPr>
        <w:t>l</w:t>
      </w:r>
      <w:r w:rsidR="00F973FC" w:rsidRPr="00F973FC">
        <w:rPr>
          <w:rFonts w:eastAsia="Times New Roman"/>
          <w:b/>
        </w:rPr>
        <w:t>ing robustness purposes – an RRC message can be sent in duplicate over the MN and SN links for a split SRB</w:t>
      </w:r>
      <w:r w:rsidR="00FB34CA">
        <w:rPr>
          <w:rFonts w:eastAsia="Times New Roman"/>
          <w:b/>
        </w:rPr>
        <w:t xml:space="preserve">, and in the case when one of the links fail, the other link can be used to send </w:t>
      </w:r>
      <w:r w:rsidR="00961CBB">
        <w:rPr>
          <w:rFonts w:eastAsia="Times New Roman"/>
          <w:b/>
        </w:rPr>
        <w:t>an</w:t>
      </w:r>
      <w:r w:rsidR="00FB34CA">
        <w:rPr>
          <w:rFonts w:eastAsia="Times New Roman"/>
          <w:b/>
        </w:rPr>
        <w:t xml:space="preserve"> RRC message</w:t>
      </w:r>
      <w:r w:rsidR="00F973FC" w:rsidRPr="00F973FC">
        <w:rPr>
          <w:rFonts w:eastAsia="Times New Roman"/>
          <w:b/>
        </w:rPr>
        <w:t>.</w:t>
      </w:r>
    </w:p>
    <w:p w14:paraId="0B8838B7" w14:textId="49ABAE5C" w:rsidR="006E2452" w:rsidRPr="006254E6" w:rsidRDefault="00401270" w:rsidP="006254E6">
      <w:pPr>
        <w:spacing w:after="0"/>
        <w:rPr>
          <w:rFonts w:eastAsia="Times New Roman"/>
          <w:b/>
        </w:rPr>
      </w:pPr>
      <w:r w:rsidRPr="00512905">
        <w:rPr>
          <w:rFonts w:ascii="Arial" w:hAnsi="Arial" w:cs="Arial"/>
          <w:szCs w:val="36"/>
          <w:lang w:eastAsia="ja-JP"/>
        </w:rPr>
        <w:t xml:space="preserve"> </w:t>
      </w:r>
    </w:p>
    <w:p w14:paraId="75A40A56" w14:textId="00D0BC0A" w:rsidR="00FB34CA" w:rsidRDefault="003C7B67" w:rsidP="003C7B67">
      <w:pPr>
        <w:rPr>
          <w:lang w:eastAsia="ja-JP"/>
        </w:rPr>
      </w:pPr>
      <w:r>
        <w:rPr>
          <w:lang w:eastAsia="ja-JP"/>
        </w:rPr>
        <w:t xml:space="preserve">The </w:t>
      </w:r>
      <w:r w:rsidR="008269EF">
        <w:rPr>
          <w:lang w:eastAsia="ja-JP"/>
        </w:rPr>
        <w:t xml:space="preserve">basic elements of the </w:t>
      </w:r>
      <w:r>
        <w:rPr>
          <w:lang w:eastAsia="ja-JP"/>
        </w:rPr>
        <w:t xml:space="preserve">Fast Recovery procedure </w:t>
      </w:r>
      <w:r w:rsidR="009E550C">
        <w:rPr>
          <w:lang w:eastAsia="ja-JP"/>
        </w:rPr>
        <w:t>are</w:t>
      </w:r>
      <w:r w:rsidR="008269EF">
        <w:rPr>
          <w:lang w:eastAsia="ja-JP"/>
        </w:rPr>
        <w:t xml:space="preserve"> </w:t>
      </w:r>
      <w:r w:rsidR="009E550C">
        <w:rPr>
          <w:lang w:eastAsia="ja-JP"/>
        </w:rPr>
        <w:t>describ</w:t>
      </w:r>
      <w:r w:rsidR="008269EF">
        <w:rPr>
          <w:lang w:eastAsia="ja-JP"/>
        </w:rPr>
        <w:t>ed</w:t>
      </w:r>
      <w:r>
        <w:rPr>
          <w:lang w:eastAsia="ja-JP"/>
        </w:rPr>
        <w:t xml:space="preserve"> </w:t>
      </w:r>
      <w:r w:rsidR="0047323C">
        <w:rPr>
          <w:lang w:eastAsia="ja-JP"/>
        </w:rPr>
        <w:t xml:space="preserve">below </w:t>
      </w:r>
      <w:r w:rsidR="008269EF">
        <w:rPr>
          <w:lang w:eastAsia="ja-JP"/>
        </w:rPr>
        <w:t>in</w:t>
      </w:r>
      <w:r>
        <w:rPr>
          <w:lang w:eastAsia="ja-JP"/>
        </w:rPr>
        <w:t xml:space="preserve"> Proposals 1, 2, 3, and 4</w:t>
      </w:r>
      <w:r w:rsidR="004B2F34">
        <w:rPr>
          <w:lang w:eastAsia="ja-JP"/>
        </w:rPr>
        <w:t>.</w:t>
      </w:r>
    </w:p>
    <w:p w14:paraId="557E0905" w14:textId="1E01AB06" w:rsidR="003C7B67" w:rsidRDefault="00E14B2E" w:rsidP="003C7B67">
      <w:pPr>
        <w:rPr>
          <w:lang w:eastAsia="ja-JP"/>
        </w:rPr>
      </w:pPr>
      <w:r w:rsidRPr="00E14B2E">
        <w:rPr>
          <w:b/>
          <w:color w:val="0070C0"/>
          <w:lang w:val="en-US"/>
        </w:rPr>
        <w:t xml:space="preserve">Proposal </w:t>
      </w:r>
      <w:r w:rsidRPr="00E14B2E">
        <w:rPr>
          <w:b/>
          <w:i/>
          <w:iCs/>
          <w:color w:val="0070C0"/>
          <w:lang w:val="en-US"/>
        </w:rPr>
        <w:fldChar w:fldCharType="begin"/>
      </w:r>
      <w:r w:rsidRPr="00E14B2E">
        <w:rPr>
          <w:b/>
          <w:color w:val="0070C0"/>
          <w:lang w:val="en-US"/>
        </w:rPr>
        <w:instrText xml:space="preserve"> SEQ Proposal \* ARABIC </w:instrText>
      </w:r>
      <w:r w:rsidRPr="00E14B2E">
        <w:rPr>
          <w:b/>
          <w:i/>
          <w:iCs/>
          <w:color w:val="0070C0"/>
          <w:lang w:val="en-US"/>
        </w:rPr>
        <w:fldChar w:fldCharType="separate"/>
      </w:r>
      <w:r w:rsidRPr="00E14B2E">
        <w:rPr>
          <w:b/>
          <w:color w:val="0070C0"/>
          <w:lang w:val="en-US"/>
        </w:rPr>
        <w:t>1</w:t>
      </w:r>
      <w:r w:rsidRPr="00E14B2E">
        <w:rPr>
          <w:b/>
          <w:i/>
          <w:iCs/>
          <w:color w:val="0070C0"/>
          <w:lang w:val="en-US"/>
        </w:rPr>
        <w:fldChar w:fldCharType="end"/>
      </w:r>
      <w:r w:rsidRPr="00E14B2E">
        <w:rPr>
          <w:b/>
          <w:color w:val="0070C0"/>
          <w:lang w:val="en-US"/>
        </w:rPr>
        <w:t>.</w:t>
      </w:r>
      <w:r w:rsidR="00FB34CA">
        <w:rPr>
          <w:lang w:eastAsia="ja-JP"/>
        </w:rPr>
        <w:t xml:space="preserve"> </w:t>
      </w:r>
      <w:r w:rsidR="00FB34CA" w:rsidRPr="00E14B2E">
        <w:rPr>
          <w:rFonts w:eastAsia="Times New Roman"/>
          <w:b/>
        </w:rPr>
        <w:t>Upon detection of MCG link failure, for the case when the link to the SN is still available, UE transmits an RRC message containing</w:t>
      </w:r>
      <w:r w:rsidR="00FB34CA" w:rsidRPr="00E14B2E">
        <w:rPr>
          <w:rFonts w:eastAsia="Times New Roman"/>
          <w:b/>
          <w:color w:val="FF0000"/>
        </w:rPr>
        <w:t xml:space="preserve"> </w:t>
      </w:r>
      <w:r w:rsidR="00FB34CA" w:rsidRPr="00E14B2E">
        <w:rPr>
          <w:rFonts w:eastAsia="Times New Roman"/>
          <w:b/>
        </w:rPr>
        <w:t>MCG failure information to the MN via SN, notifying the network of the failure of the MCG link.</w:t>
      </w:r>
      <w:r w:rsidR="003C7B67">
        <w:rPr>
          <w:lang w:eastAsia="ja-JP"/>
        </w:rPr>
        <w:t xml:space="preserve">  </w:t>
      </w:r>
    </w:p>
    <w:p w14:paraId="5A12C5EC" w14:textId="18DDA89F" w:rsidR="003C7B67" w:rsidRDefault="00420597" w:rsidP="003C7B67">
      <w:pPr>
        <w:rPr>
          <w:rFonts w:eastAsia="Times New Roman"/>
          <w:b/>
        </w:rPr>
      </w:pPr>
      <w:bookmarkStart w:id="5" w:name="_Hlk536830399"/>
      <w:r w:rsidRPr="00420597">
        <w:rPr>
          <w:b/>
          <w:color w:val="0070C0"/>
        </w:rPr>
        <w:t xml:space="preserve">Proposal </w:t>
      </w:r>
      <w:r w:rsidRPr="00420597">
        <w:rPr>
          <w:b/>
          <w:i/>
          <w:color w:val="0070C0"/>
        </w:rPr>
        <w:fldChar w:fldCharType="begin"/>
      </w:r>
      <w:r w:rsidRPr="00420597">
        <w:rPr>
          <w:b/>
          <w:color w:val="0070C0"/>
        </w:rPr>
        <w:instrText xml:space="preserve"> SEQ Proposal \* ARABIC </w:instrText>
      </w:r>
      <w:r w:rsidRPr="00420597">
        <w:rPr>
          <w:b/>
          <w:i/>
          <w:color w:val="0070C0"/>
        </w:rPr>
        <w:fldChar w:fldCharType="separate"/>
      </w:r>
      <w:r w:rsidRPr="00420597">
        <w:rPr>
          <w:b/>
          <w:noProof/>
          <w:color w:val="0070C0"/>
        </w:rPr>
        <w:t>2</w:t>
      </w:r>
      <w:r w:rsidRPr="00420597">
        <w:rPr>
          <w:b/>
          <w:i/>
          <w:color w:val="0070C0"/>
        </w:rPr>
        <w:fldChar w:fldCharType="end"/>
      </w:r>
      <w:r w:rsidRPr="00420597">
        <w:rPr>
          <w:b/>
          <w:i/>
          <w:color w:val="0070C0"/>
        </w:rPr>
        <w:t>.</w:t>
      </w:r>
      <w:bookmarkEnd w:id="5"/>
      <w:r w:rsidRPr="00420597">
        <w:rPr>
          <w:rFonts w:eastAsia="Times New Roman"/>
        </w:rPr>
        <w:t xml:space="preserve"> </w:t>
      </w:r>
      <w:r w:rsidR="004C4B75">
        <w:rPr>
          <w:rFonts w:eastAsia="Times New Roman"/>
          <w:b/>
        </w:rPr>
        <w:t xml:space="preserve">The </w:t>
      </w:r>
      <w:r w:rsidRPr="00420597">
        <w:rPr>
          <w:rFonts w:eastAsia="Times New Roman"/>
          <w:b/>
        </w:rPr>
        <w:t>RRC message containing MCG failure information is sent using the split SRB1 bearer.</w:t>
      </w:r>
    </w:p>
    <w:p w14:paraId="65803A44" w14:textId="1AB0AE21" w:rsidR="00420597" w:rsidRDefault="00420597" w:rsidP="003C7B67">
      <w:pPr>
        <w:rPr>
          <w:rFonts w:eastAsia="Times New Roman"/>
          <w:b/>
        </w:rPr>
      </w:pPr>
      <w:r w:rsidRPr="00420597">
        <w:rPr>
          <w:b/>
          <w:color w:val="0070C0"/>
        </w:rPr>
        <w:t xml:space="preserve">Proposal </w:t>
      </w:r>
      <w:r w:rsidRPr="00420597">
        <w:rPr>
          <w:b/>
          <w:i/>
          <w:color w:val="0070C0"/>
        </w:rPr>
        <w:fldChar w:fldCharType="begin"/>
      </w:r>
      <w:r w:rsidRPr="00420597">
        <w:rPr>
          <w:b/>
          <w:color w:val="0070C0"/>
        </w:rPr>
        <w:instrText xml:space="preserve"> SEQ Proposal \* ARABIC </w:instrText>
      </w:r>
      <w:r w:rsidRPr="00420597">
        <w:rPr>
          <w:b/>
          <w:i/>
          <w:color w:val="0070C0"/>
        </w:rPr>
        <w:fldChar w:fldCharType="separate"/>
      </w:r>
      <w:r w:rsidR="00562E37">
        <w:rPr>
          <w:b/>
          <w:noProof/>
          <w:color w:val="0070C0"/>
        </w:rPr>
        <w:t>3</w:t>
      </w:r>
      <w:r w:rsidRPr="00420597">
        <w:rPr>
          <w:b/>
          <w:i/>
          <w:color w:val="0070C0"/>
        </w:rPr>
        <w:fldChar w:fldCharType="end"/>
      </w:r>
      <w:r w:rsidRPr="00420597">
        <w:rPr>
          <w:b/>
          <w:i/>
          <w:color w:val="0070C0"/>
        </w:rPr>
        <w:t>.</w:t>
      </w:r>
      <w:r w:rsidR="00562E37" w:rsidRPr="00562E37">
        <w:rPr>
          <w:rFonts w:eastAsia="Times New Roman"/>
        </w:rPr>
        <w:t xml:space="preserve"> </w:t>
      </w:r>
      <w:r w:rsidR="00562E37" w:rsidRPr="00562E37">
        <w:rPr>
          <w:rFonts w:eastAsia="Times New Roman"/>
          <w:b/>
        </w:rPr>
        <w:t>The RRC message wit</w:t>
      </w:r>
      <w:r w:rsidR="00AD3749">
        <w:rPr>
          <w:rFonts w:eastAsia="Times New Roman"/>
          <w:b/>
        </w:rPr>
        <w:t>h</w:t>
      </w:r>
      <w:r w:rsidR="00562E37" w:rsidRPr="00562E37">
        <w:rPr>
          <w:rFonts w:eastAsia="Times New Roman"/>
          <w:b/>
        </w:rPr>
        <w:t xml:space="preserve"> MCG failure information include</w:t>
      </w:r>
      <w:r w:rsidR="00433AA8">
        <w:rPr>
          <w:rFonts w:eastAsia="Times New Roman"/>
          <w:b/>
        </w:rPr>
        <w:t>s</w:t>
      </w:r>
      <w:r w:rsidR="00562E37" w:rsidRPr="00562E37">
        <w:rPr>
          <w:rFonts w:eastAsia="Times New Roman"/>
          <w:b/>
        </w:rPr>
        <w:t xml:space="preserve"> the following information:</w:t>
      </w:r>
    </w:p>
    <w:p w14:paraId="6317D360" w14:textId="0F726513" w:rsidR="00015923" w:rsidRPr="00015923" w:rsidRDefault="00015923" w:rsidP="00015923">
      <w:pPr>
        <w:pStyle w:val="ListParagraph"/>
        <w:numPr>
          <w:ilvl w:val="0"/>
          <w:numId w:val="20"/>
        </w:numPr>
        <w:spacing w:after="0"/>
        <w:rPr>
          <w:rFonts w:eastAsia="Times New Roman"/>
          <w:b/>
        </w:rPr>
      </w:pPr>
      <w:r w:rsidRPr="00015923">
        <w:rPr>
          <w:rFonts w:eastAsia="Times New Roman"/>
          <w:b/>
        </w:rPr>
        <w:t xml:space="preserve">Available measurement results based on measurements performed by UE on serving (MCG and SCG) and non-serving cells as specified in </w:t>
      </w:r>
      <w:r w:rsidR="00D12D5B">
        <w:rPr>
          <w:rFonts w:eastAsia="Times New Roman"/>
          <w:b/>
        </w:rPr>
        <w:t xml:space="preserve">provided </w:t>
      </w:r>
      <w:r w:rsidRPr="00015923">
        <w:rPr>
          <w:rFonts w:eastAsia="Times New Roman"/>
          <w:b/>
        </w:rPr>
        <w:t>measurement configuration;</w:t>
      </w:r>
    </w:p>
    <w:p w14:paraId="2DECA27F" w14:textId="498FF1AC" w:rsidR="00562E37" w:rsidRDefault="00015923" w:rsidP="00015923">
      <w:pPr>
        <w:pStyle w:val="ListParagraph"/>
        <w:numPr>
          <w:ilvl w:val="0"/>
          <w:numId w:val="20"/>
        </w:numPr>
        <w:spacing w:after="0"/>
        <w:rPr>
          <w:rFonts w:eastAsia="Times New Roman"/>
          <w:b/>
        </w:rPr>
      </w:pPr>
      <w:r w:rsidRPr="00015923">
        <w:rPr>
          <w:rFonts w:eastAsia="Times New Roman"/>
          <w:b/>
        </w:rPr>
        <w:t>MCG link failure cause.</w:t>
      </w:r>
    </w:p>
    <w:p w14:paraId="32372F0C" w14:textId="77777777" w:rsidR="00015923" w:rsidRPr="00015923" w:rsidRDefault="00015923" w:rsidP="00015923">
      <w:pPr>
        <w:pStyle w:val="ListParagraph"/>
        <w:spacing w:after="0"/>
        <w:ind w:left="825"/>
        <w:rPr>
          <w:rFonts w:eastAsia="Times New Roman"/>
          <w:b/>
        </w:rPr>
      </w:pPr>
    </w:p>
    <w:p w14:paraId="6DB2DC4D" w14:textId="3187B0DB" w:rsidR="00420597" w:rsidRDefault="00015923" w:rsidP="003C7B67">
      <w:pPr>
        <w:rPr>
          <w:rFonts w:eastAsia="Times New Roman"/>
          <w:b/>
        </w:rPr>
      </w:pPr>
      <w:r w:rsidRPr="00420597">
        <w:rPr>
          <w:b/>
          <w:color w:val="0070C0"/>
        </w:rPr>
        <w:t xml:space="preserve">Proposal </w:t>
      </w:r>
      <w:r w:rsidRPr="00420597">
        <w:rPr>
          <w:b/>
          <w:i/>
          <w:color w:val="0070C0"/>
        </w:rPr>
        <w:fldChar w:fldCharType="begin"/>
      </w:r>
      <w:r w:rsidRPr="00420597">
        <w:rPr>
          <w:b/>
          <w:color w:val="0070C0"/>
        </w:rPr>
        <w:instrText xml:space="preserve"> SEQ Proposal \* ARABIC </w:instrText>
      </w:r>
      <w:r w:rsidRPr="00420597">
        <w:rPr>
          <w:b/>
          <w:i/>
          <w:color w:val="0070C0"/>
        </w:rPr>
        <w:fldChar w:fldCharType="separate"/>
      </w:r>
      <w:r w:rsidR="00655D6C">
        <w:rPr>
          <w:b/>
          <w:noProof/>
          <w:color w:val="0070C0"/>
        </w:rPr>
        <w:t>4</w:t>
      </w:r>
      <w:r w:rsidRPr="00420597">
        <w:rPr>
          <w:b/>
          <w:i/>
          <w:color w:val="0070C0"/>
        </w:rPr>
        <w:fldChar w:fldCharType="end"/>
      </w:r>
      <w:r w:rsidRPr="00420597">
        <w:rPr>
          <w:b/>
          <w:i/>
          <w:color w:val="0070C0"/>
        </w:rPr>
        <w:t>.</w:t>
      </w:r>
      <w:r w:rsidR="00655D6C">
        <w:rPr>
          <w:b/>
          <w:i/>
          <w:color w:val="0070C0"/>
        </w:rPr>
        <w:t xml:space="preserve"> </w:t>
      </w:r>
      <w:r w:rsidR="00655D6C" w:rsidRPr="00655D6C">
        <w:rPr>
          <w:rFonts w:eastAsia="Times New Roman"/>
          <w:b/>
        </w:rPr>
        <w:t xml:space="preserve">Upon reception of the RRC message </w:t>
      </w:r>
      <w:r w:rsidR="00AD3749">
        <w:rPr>
          <w:rFonts w:eastAsia="Times New Roman"/>
          <w:b/>
        </w:rPr>
        <w:t>containing</w:t>
      </w:r>
      <w:r w:rsidR="00655D6C" w:rsidRPr="00655D6C">
        <w:rPr>
          <w:rFonts w:eastAsia="Times New Roman"/>
          <w:b/>
        </w:rPr>
        <w:t xml:space="preserve"> MCG failure information, the MN may initiate a handover procedure to a target MN.</w:t>
      </w:r>
    </w:p>
    <w:p w14:paraId="40EB31B4" w14:textId="05541F0D" w:rsidR="00CA3A08" w:rsidRDefault="00140B01" w:rsidP="003C7B67">
      <w:pPr>
        <w:rPr>
          <w:rFonts w:eastAsia="Times New Roman"/>
        </w:rPr>
      </w:pPr>
      <w:r w:rsidRPr="00140B01">
        <w:rPr>
          <w:rFonts w:eastAsia="Times New Roman"/>
        </w:rPr>
        <w:fldChar w:fldCharType="begin"/>
      </w:r>
      <w:r w:rsidRPr="00140B01">
        <w:rPr>
          <w:rFonts w:eastAsia="Times New Roman"/>
        </w:rPr>
        <w:instrText xml:space="preserve"> REF _Ref536835496 \h  \* MERGEFORMAT </w:instrText>
      </w:r>
      <w:r w:rsidRPr="00140B01">
        <w:rPr>
          <w:rFonts w:eastAsia="Times New Roman"/>
        </w:rPr>
      </w:r>
      <w:r w:rsidRPr="00140B01">
        <w:rPr>
          <w:rFonts w:eastAsia="Times New Roman"/>
        </w:rPr>
        <w:fldChar w:fldCharType="separate"/>
      </w:r>
      <w:r w:rsidRPr="00140B01">
        <w:t xml:space="preserve">Figure </w:t>
      </w:r>
      <w:r w:rsidRPr="00140B01">
        <w:rPr>
          <w:noProof/>
        </w:rPr>
        <w:t>1</w:t>
      </w:r>
      <w:r w:rsidRPr="00140B01">
        <w:rPr>
          <w:rFonts w:eastAsia="Times New Roman"/>
        </w:rPr>
        <w:fldChar w:fldCharType="end"/>
      </w:r>
      <w:r w:rsidR="00505B01">
        <w:rPr>
          <w:rFonts w:eastAsia="Times New Roman"/>
        </w:rPr>
        <w:t xml:space="preserve"> </w:t>
      </w:r>
      <w:r w:rsidR="007D19CF">
        <w:rPr>
          <w:rFonts w:eastAsia="Times New Roman"/>
        </w:rPr>
        <w:t xml:space="preserve">provides an example call-flow </w:t>
      </w:r>
      <w:r w:rsidR="00707715">
        <w:rPr>
          <w:rFonts w:eastAsia="Times New Roman"/>
        </w:rPr>
        <w:t>illustrating the</w:t>
      </w:r>
      <w:r w:rsidR="007D19CF">
        <w:rPr>
          <w:rFonts w:eastAsia="Times New Roman"/>
        </w:rPr>
        <w:t xml:space="preserve"> </w:t>
      </w:r>
      <w:r w:rsidR="001F54E1">
        <w:rPr>
          <w:rFonts w:eastAsia="Times New Roman"/>
        </w:rPr>
        <w:t xml:space="preserve">Fast Recovery </w:t>
      </w:r>
      <w:r w:rsidR="007D19CF">
        <w:rPr>
          <w:rFonts w:eastAsia="Times New Roman"/>
        </w:rPr>
        <w:t xml:space="preserve">procedure for an NR-NR DC system. </w:t>
      </w:r>
      <w:r w:rsidR="00F22B1F">
        <w:rPr>
          <w:rFonts w:eastAsia="Times New Roman"/>
        </w:rPr>
        <w:t>U</w:t>
      </w:r>
      <w:r w:rsidR="007D19CF">
        <w:rPr>
          <w:rFonts w:eastAsia="Times New Roman"/>
        </w:rPr>
        <w:t>pon receiving the RRC message containing MCG failure information</w:t>
      </w:r>
      <w:r w:rsidR="00F22B1F">
        <w:rPr>
          <w:rFonts w:eastAsia="Times New Roman"/>
        </w:rPr>
        <w:t xml:space="preserve"> (Step 1 of the call-flow)</w:t>
      </w:r>
      <w:r w:rsidR="007D19CF">
        <w:rPr>
          <w:rFonts w:eastAsia="Times New Roman"/>
        </w:rPr>
        <w:t xml:space="preserve">, the </w:t>
      </w:r>
      <w:proofErr w:type="spellStart"/>
      <w:r w:rsidR="007D19CF">
        <w:rPr>
          <w:rFonts w:eastAsia="Times New Roman"/>
        </w:rPr>
        <w:t>MgNB</w:t>
      </w:r>
      <w:proofErr w:type="spellEnd"/>
      <w:r w:rsidR="007D19CF">
        <w:rPr>
          <w:rFonts w:eastAsia="Times New Roman"/>
        </w:rPr>
        <w:t xml:space="preserve"> </w:t>
      </w:r>
      <w:r w:rsidR="00DB6BB3">
        <w:rPr>
          <w:rFonts w:eastAsia="Times New Roman"/>
        </w:rPr>
        <w:t xml:space="preserve">may </w:t>
      </w:r>
      <w:r w:rsidR="007D19CF">
        <w:rPr>
          <w:rFonts w:eastAsia="Times New Roman"/>
        </w:rPr>
        <w:t xml:space="preserve">initiate an inter-MN handover procedure </w:t>
      </w:r>
      <w:r w:rsidR="00680310">
        <w:rPr>
          <w:rFonts w:eastAsia="Times New Roman"/>
        </w:rPr>
        <w:t>(</w:t>
      </w:r>
      <w:r w:rsidR="007D19CF">
        <w:rPr>
          <w:rFonts w:eastAsia="Times New Roman"/>
        </w:rPr>
        <w:t>Section</w:t>
      </w:r>
      <w:r w:rsidR="00427D5E">
        <w:rPr>
          <w:rFonts w:eastAsia="Times New Roman"/>
        </w:rPr>
        <w:t xml:space="preserve"> 10.7</w:t>
      </w:r>
      <w:r w:rsidR="007D19CF">
        <w:rPr>
          <w:rFonts w:eastAsia="Times New Roman"/>
        </w:rPr>
        <w:t>, TS 37.340 [2]</w:t>
      </w:r>
      <w:r w:rsidR="00680310">
        <w:rPr>
          <w:rFonts w:eastAsia="Times New Roman"/>
        </w:rPr>
        <w:t>)</w:t>
      </w:r>
      <w:r w:rsidR="004B3FFC">
        <w:rPr>
          <w:rFonts w:eastAsia="Times New Roman"/>
        </w:rPr>
        <w:t xml:space="preserve"> to a target </w:t>
      </w:r>
      <w:proofErr w:type="spellStart"/>
      <w:r w:rsidR="004B3FFC">
        <w:rPr>
          <w:rFonts w:eastAsia="Times New Roman"/>
        </w:rPr>
        <w:t>MgNB</w:t>
      </w:r>
      <w:proofErr w:type="spellEnd"/>
      <w:r w:rsidR="007D19CF">
        <w:rPr>
          <w:rFonts w:eastAsia="Times New Roman"/>
        </w:rPr>
        <w:t>.</w:t>
      </w:r>
      <w:r w:rsidR="00EE2B05">
        <w:rPr>
          <w:rFonts w:eastAsia="Times New Roman"/>
        </w:rPr>
        <w:t xml:space="preserve">   </w:t>
      </w:r>
    </w:p>
    <w:p w14:paraId="3FBD28A3" w14:textId="2D820B2F" w:rsidR="00140B01" w:rsidRPr="00140B01" w:rsidRDefault="00085D6C" w:rsidP="00140B01">
      <w:pPr>
        <w:keepNext/>
      </w:pPr>
      <w:r>
        <w:rPr>
          <w:rFonts w:eastAsia="Times New Roman"/>
        </w:rPr>
        <w:object w:dxaOrig="12496" w:dyaOrig="7576" w14:anchorId="67B3FC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3pt;height:4in" o:ole="">
            <v:imagedata r:id="rId8" o:title=""/>
          </v:shape>
          <o:OLEObject Type="Embed" ProgID="Visio.Drawing.11" ShapeID="_x0000_i1025" DrawAspect="Content" ObjectID="_1611664046" r:id="rId9"/>
        </w:object>
      </w:r>
    </w:p>
    <w:p w14:paraId="20456CBA" w14:textId="2A72917A" w:rsidR="00140B01" w:rsidRPr="004B2F34" w:rsidRDefault="00427D5E" w:rsidP="004B2F34">
      <w:pPr>
        <w:pStyle w:val="Caption"/>
        <w:jc w:val="center"/>
        <w:rPr>
          <w:rFonts w:ascii="Arial" w:eastAsia="Times New Roman" w:hAnsi="Arial" w:cs="Arial"/>
          <w:sz w:val="24"/>
          <w:szCs w:val="24"/>
        </w:rPr>
      </w:pPr>
      <w:bookmarkStart w:id="6" w:name="_Ref536835496"/>
      <w:r w:rsidRPr="00140B01">
        <w:rPr>
          <w:rFonts w:ascii="Arial" w:hAnsi="Arial" w:cs="Arial"/>
          <w:b/>
          <w:i w:val="0"/>
          <w:sz w:val="24"/>
          <w:szCs w:val="24"/>
        </w:rPr>
        <w:t xml:space="preserve">Figure </w:t>
      </w:r>
      <w:r w:rsidRPr="00140B01">
        <w:rPr>
          <w:rFonts w:ascii="Arial" w:hAnsi="Arial" w:cs="Arial"/>
          <w:b/>
          <w:i w:val="0"/>
          <w:sz w:val="24"/>
          <w:szCs w:val="24"/>
        </w:rPr>
        <w:fldChar w:fldCharType="begin"/>
      </w:r>
      <w:r w:rsidRPr="00140B01">
        <w:rPr>
          <w:rFonts w:ascii="Arial" w:hAnsi="Arial" w:cs="Arial"/>
          <w:b/>
          <w:i w:val="0"/>
          <w:sz w:val="24"/>
          <w:szCs w:val="24"/>
        </w:rPr>
        <w:instrText xml:space="preserve"> SEQ Figure \* ARABIC </w:instrText>
      </w:r>
      <w:r w:rsidRPr="00140B01">
        <w:rPr>
          <w:rFonts w:ascii="Arial" w:hAnsi="Arial" w:cs="Arial"/>
          <w:b/>
          <w:i w:val="0"/>
          <w:sz w:val="24"/>
          <w:szCs w:val="24"/>
        </w:rPr>
        <w:fldChar w:fldCharType="separate"/>
      </w:r>
      <w:r w:rsidRPr="00140B01">
        <w:rPr>
          <w:rFonts w:ascii="Arial" w:hAnsi="Arial" w:cs="Arial"/>
          <w:b/>
          <w:i w:val="0"/>
          <w:noProof/>
          <w:sz w:val="24"/>
          <w:szCs w:val="24"/>
        </w:rPr>
        <w:t>1</w:t>
      </w:r>
      <w:r w:rsidRPr="00140B01">
        <w:rPr>
          <w:rFonts w:ascii="Arial" w:hAnsi="Arial" w:cs="Arial"/>
          <w:b/>
          <w:i w:val="0"/>
          <w:sz w:val="24"/>
          <w:szCs w:val="24"/>
        </w:rPr>
        <w:fldChar w:fldCharType="end"/>
      </w:r>
      <w:bookmarkEnd w:id="6"/>
      <w:r w:rsidRPr="00140B01">
        <w:rPr>
          <w:rFonts w:ascii="Arial" w:hAnsi="Arial" w:cs="Arial"/>
          <w:b/>
          <w:i w:val="0"/>
          <w:sz w:val="24"/>
          <w:szCs w:val="24"/>
        </w:rPr>
        <w:t xml:space="preserve"> Example call-flow </w:t>
      </w:r>
      <w:r w:rsidR="00707715">
        <w:rPr>
          <w:rFonts w:ascii="Arial" w:hAnsi="Arial" w:cs="Arial"/>
          <w:b/>
          <w:i w:val="0"/>
          <w:sz w:val="24"/>
          <w:szCs w:val="24"/>
        </w:rPr>
        <w:t>illustrating the</w:t>
      </w:r>
      <w:r w:rsidRPr="00140B01">
        <w:rPr>
          <w:rFonts w:ascii="Arial" w:hAnsi="Arial" w:cs="Arial"/>
          <w:b/>
          <w:i w:val="0"/>
          <w:sz w:val="24"/>
          <w:szCs w:val="24"/>
        </w:rPr>
        <w:t xml:space="preserve"> Fast Recovery procedure for an NR-NR DC system</w:t>
      </w:r>
    </w:p>
    <w:p w14:paraId="511F660B" w14:textId="09FF3FF6" w:rsidR="00433AA8" w:rsidRDefault="00433AA8" w:rsidP="003C7B67">
      <w:pPr>
        <w:rPr>
          <w:rFonts w:eastAsia="Times New Roman"/>
          <w:b/>
        </w:rPr>
      </w:pPr>
      <w:r w:rsidRPr="00F973FC">
        <w:rPr>
          <w:b/>
          <w:color w:val="0070C0"/>
        </w:rPr>
        <w:t xml:space="preserve">Observation </w:t>
      </w:r>
      <w:r w:rsidRPr="00F973FC">
        <w:rPr>
          <w:b/>
          <w:i/>
          <w:color w:val="0070C0"/>
        </w:rPr>
        <w:fldChar w:fldCharType="begin"/>
      </w:r>
      <w:r w:rsidRPr="00F973FC">
        <w:rPr>
          <w:b/>
          <w:color w:val="0070C0"/>
        </w:rPr>
        <w:instrText xml:space="preserve"> SEQ Observation \* ARABIC </w:instrText>
      </w:r>
      <w:r w:rsidRPr="00F973FC">
        <w:rPr>
          <w:b/>
          <w:i/>
          <w:color w:val="0070C0"/>
        </w:rPr>
        <w:fldChar w:fldCharType="separate"/>
      </w:r>
      <w:r>
        <w:rPr>
          <w:b/>
          <w:noProof/>
          <w:color w:val="0070C0"/>
        </w:rPr>
        <w:t>3</w:t>
      </w:r>
      <w:r w:rsidRPr="00F973FC">
        <w:rPr>
          <w:b/>
          <w:i/>
          <w:color w:val="0070C0"/>
        </w:rPr>
        <w:fldChar w:fldCharType="end"/>
      </w:r>
      <w:r w:rsidRPr="00F973FC">
        <w:rPr>
          <w:b/>
          <w:color w:val="0070C0"/>
        </w:rPr>
        <w:t>.</w:t>
      </w:r>
      <w:r>
        <w:rPr>
          <w:b/>
          <w:color w:val="0070C0"/>
        </w:rPr>
        <w:t xml:space="preserve"> </w:t>
      </w:r>
      <w:r w:rsidRPr="00433AA8">
        <w:rPr>
          <w:b/>
        </w:rPr>
        <w:t xml:space="preserve">The signalling bearer </w:t>
      </w:r>
      <w:r w:rsidRPr="00433AA8">
        <w:rPr>
          <w:rFonts w:eastAsia="Times New Roman"/>
          <w:b/>
        </w:rPr>
        <w:t xml:space="preserve">SRB3 should not be used for the </w:t>
      </w:r>
      <w:r w:rsidR="00775E62">
        <w:rPr>
          <w:rFonts w:eastAsia="Times New Roman"/>
          <w:b/>
        </w:rPr>
        <w:t xml:space="preserve">Fast Recovery </w:t>
      </w:r>
      <w:r w:rsidRPr="00433AA8">
        <w:rPr>
          <w:rFonts w:eastAsia="Times New Roman"/>
          <w:b/>
        </w:rPr>
        <w:t xml:space="preserve">procedure because of the additional complexity involved in forwarding MCG failure notification and handover messages in new containers over the </w:t>
      </w:r>
      <w:proofErr w:type="spellStart"/>
      <w:r w:rsidRPr="00433AA8">
        <w:rPr>
          <w:rFonts w:eastAsia="Times New Roman"/>
          <w:b/>
        </w:rPr>
        <w:t>Xn</w:t>
      </w:r>
      <w:proofErr w:type="spellEnd"/>
      <w:r w:rsidRPr="00433AA8">
        <w:rPr>
          <w:rFonts w:eastAsia="Times New Roman"/>
          <w:b/>
        </w:rPr>
        <w:t>/X2 interface between the MN and SN.</w:t>
      </w:r>
    </w:p>
    <w:p w14:paraId="10074DC2" w14:textId="79DBB2D3" w:rsidR="00CF77BD" w:rsidRPr="00505B01" w:rsidRDefault="00433AA8" w:rsidP="00505B01">
      <w:pPr>
        <w:rPr>
          <w:rFonts w:eastAsia="Times New Roman"/>
        </w:rPr>
      </w:pPr>
      <w:r w:rsidRPr="00420597">
        <w:rPr>
          <w:b/>
          <w:color w:val="0070C0"/>
        </w:rPr>
        <w:t xml:space="preserve">Proposal </w:t>
      </w:r>
      <w:r w:rsidRPr="00420597">
        <w:rPr>
          <w:b/>
          <w:i/>
          <w:color w:val="0070C0"/>
        </w:rPr>
        <w:fldChar w:fldCharType="begin"/>
      </w:r>
      <w:r w:rsidRPr="00420597">
        <w:rPr>
          <w:b/>
          <w:color w:val="0070C0"/>
        </w:rPr>
        <w:instrText xml:space="preserve"> SEQ Proposal \* ARABIC </w:instrText>
      </w:r>
      <w:r w:rsidRPr="00420597">
        <w:rPr>
          <w:b/>
          <w:i/>
          <w:color w:val="0070C0"/>
        </w:rPr>
        <w:fldChar w:fldCharType="separate"/>
      </w:r>
      <w:r>
        <w:rPr>
          <w:b/>
          <w:noProof/>
          <w:color w:val="0070C0"/>
        </w:rPr>
        <w:t>5</w:t>
      </w:r>
      <w:r w:rsidRPr="00420597">
        <w:rPr>
          <w:b/>
          <w:i/>
          <w:color w:val="0070C0"/>
        </w:rPr>
        <w:fldChar w:fldCharType="end"/>
      </w:r>
      <w:r w:rsidRPr="00420597">
        <w:rPr>
          <w:b/>
          <w:i/>
          <w:color w:val="0070C0"/>
        </w:rPr>
        <w:t>.</w:t>
      </w:r>
      <w:r w:rsidRPr="00433AA8">
        <w:rPr>
          <w:rFonts w:eastAsia="Times New Roman"/>
        </w:rPr>
        <w:t xml:space="preserve"> </w:t>
      </w:r>
      <w:r w:rsidRPr="00433AA8">
        <w:rPr>
          <w:rFonts w:eastAsia="Times New Roman"/>
          <w:b/>
        </w:rPr>
        <w:t>SRB3 is not used for</w:t>
      </w:r>
      <w:r w:rsidR="00293B03">
        <w:rPr>
          <w:rFonts w:eastAsia="Times New Roman"/>
          <w:b/>
        </w:rPr>
        <w:t xml:space="preserve"> the Fast Recovery procedure</w:t>
      </w:r>
      <w:r w:rsidRPr="00433AA8">
        <w:rPr>
          <w:rFonts w:eastAsia="Times New Roman"/>
          <w:b/>
        </w:rPr>
        <w:t>.</w:t>
      </w:r>
      <w:r w:rsidR="00CF77BD">
        <w:rPr>
          <w:rFonts w:ascii="Arial" w:hAnsi="Arial" w:cs="Arial"/>
          <w:szCs w:val="36"/>
          <w:lang w:eastAsia="ja-JP"/>
        </w:rPr>
        <w:t xml:space="preserve"> </w:t>
      </w:r>
    </w:p>
    <w:p w14:paraId="47527E48" w14:textId="77777777" w:rsidR="00E85CB2" w:rsidRDefault="00E85CB2" w:rsidP="00E85CB2">
      <w:pPr>
        <w:pStyle w:val="Heading1"/>
      </w:pPr>
      <w:r>
        <w:t>3. Conclusion</w:t>
      </w:r>
    </w:p>
    <w:p w14:paraId="5D57901E" w14:textId="60AEEFA5" w:rsidR="008269EF" w:rsidRDefault="00E85CB2" w:rsidP="008269EF">
      <w:pPr>
        <w:spacing w:before="120" w:after="0"/>
      </w:pPr>
      <w:bookmarkStart w:id="7" w:name="_Hlk512894710"/>
      <w:r>
        <w:t xml:space="preserve">Based on the above discussions, we recommend </w:t>
      </w:r>
      <w:r w:rsidR="0086028E">
        <w:t xml:space="preserve">that </w:t>
      </w:r>
      <w:r>
        <w:t>RAN2 discuss the following observations and proposals:</w:t>
      </w:r>
      <w:bookmarkEnd w:id="7"/>
    </w:p>
    <w:p w14:paraId="02BD3345" w14:textId="77777777" w:rsidR="008269EF" w:rsidRPr="008269EF" w:rsidRDefault="008269EF" w:rsidP="008269EF">
      <w:pPr>
        <w:spacing w:before="120" w:after="0"/>
      </w:pPr>
    </w:p>
    <w:p w14:paraId="469280C8" w14:textId="33EE7051" w:rsidR="008269EF" w:rsidRPr="004F3FC3" w:rsidRDefault="008269EF" w:rsidP="008269EF">
      <w:pPr>
        <w:pStyle w:val="Caption"/>
        <w:rPr>
          <w:b/>
          <w:i w:val="0"/>
          <w:color w:val="auto"/>
          <w:sz w:val="20"/>
          <w:szCs w:val="20"/>
        </w:rPr>
      </w:pPr>
      <w:r w:rsidRPr="00F973FC">
        <w:rPr>
          <w:b/>
          <w:i w:val="0"/>
          <w:color w:val="0070C0"/>
          <w:sz w:val="20"/>
          <w:szCs w:val="20"/>
        </w:rPr>
        <w:t xml:space="preserve">Observation </w:t>
      </w:r>
      <w:r w:rsidRPr="00F973FC">
        <w:rPr>
          <w:b/>
          <w:i w:val="0"/>
          <w:color w:val="0070C0"/>
          <w:sz w:val="20"/>
          <w:szCs w:val="20"/>
        </w:rPr>
        <w:fldChar w:fldCharType="begin"/>
      </w:r>
      <w:r w:rsidRPr="00F973FC">
        <w:rPr>
          <w:b/>
          <w:i w:val="0"/>
          <w:color w:val="0070C0"/>
          <w:sz w:val="20"/>
          <w:szCs w:val="20"/>
        </w:rPr>
        <w:instrText xml:space="preserve"> SEQ Observation \* ARABIC </w:instrText>
      </w:r>
      <w:r w:rsidRPr="00F973FC">
        <w:rPr>
          <w:b/>
          <w:i w:val="0"/>
          <w:color w:val="0070C0"/>
          <w:sz w:val="20"/>
          <w:szCs w:val="20"/>
        </w:rPr>
        <w:fldChar w:fldCharType="separate"/>
      </w:r>
      <w:r w:rsidRPr="00F973FC">
        <w:rPr>
          <w:b/>
          <w:i w:val="0"/>
          <w:noProof/>
          <w:color w:val="0070C0"/>
          <w:sz w:val="20"/>
          <w:szCs w:val="20"/>
        </w:rPr>
        <w:t>1</w:t>
      </w:r>
      <w:r w:rsidRPr="00F973FC">
        <w:rPr>
          <w:b/>
          <w:i w:val="0"/>
          <w:color w:val="0070C0"/>
          <w:sz w:val="20"/>
          <w:szCs w:val="20"/>
        </w:rPr>
        <w:fldChar w:fldCharType="end"/>
      </w:r>
      <w:r w:rsidRPr="00F973FC">
        <w:rPr>
          <w:b/>
          <w:i w:val="0"/>
          <w:color w:val="0070C0"/>
          <w:sz w:val="20"/>
          <w:szCs w:val="20"/>
        </w:rPr>
        <w:t>.</w:t>
      </w:r>
      <w:r w:rsidRPr="00F973FC">
        <w:rPr>
          <w:b/>
          <w:i w:val="0"/>
          <w:color w:val="auto"/>
          <w:sz w:val="20"/>
          <w:szCs w:val="20"/>
        </w:rPr>
        <w:t xml:space="preserve"> </w:t>
      </w:r>
      <w:r w:rsidRPr="00F973FC">
        <w:rPr>
          <w:rFonts w:eastAsia="Times New Roman"/>
          <w:b/>
          <w:i w:val="0"/>
          <w:color w:val="auto"/>
          <w:sz w:val="20"/>
          <w:szCs w:val="20"/>
        </w:rPr>
        <w:t>In MR-DC systems, upon detection of MCG link failure, UE releases the SCG and performs the RRC re-establishment procedure, even when the link to the SN is still available.</w:t>
      </w:r>
      <w:r w:rsidRPr="004F3FC3">
        <w:rPr>
          <w:b/>
          <w:i w:val="0"/>
          <w:color w:val="auto"/>
          <w:sz w:val="20"/>
          <w:szCs w:val="20"/>
        </w:rPr>
        <w:t xml:space="preserve"> </w:t>
      </w:r>
    </w:p>
    <w:p w14:paraId="7D635E55" w14:textId="77777777" w:rsidR="008269EF" w:rsidRDefault="008269EF" w:rsidP="008269EF">
      <w:pPr>
        <w:spacing w:after="0"/>
        <w:rPr>
          <w:rFonts w:eastAsia="Times New Roman"/>
          <w:b/>
        </w:rPr>
      </w:pPr>
      <w:r w:rsidRPr="00F973FC">
        <w:rPr>
          <w:b/>
          <w:color w:val="0070C0"/>
        </w:rPr>
        <w:t xml:space="preserve">Observation </w:t>
      </w:r>
      <w:r w:rsidRPr="00F973FC">
        <w:rPr>
          <w:b/>
          <w:i/>
          <w:color w:val="0070C0"/>
        </w:rPr>
        <w:fldChar w:fldCharType="begin"/>
      </w:r>
      <w:r w:rsidRPr="00F973FC">
        <w:rPr>
          <w:b/>
          <w:color w:val="0070C0"/>
        </w:rPr>
        <w:instrText xml:space="preserve"> SEQ Observation \* ARABIC </w:instrText>
      </w:r>
      <w:r w:rsidRPr="00F973FC">
        <w:rPr>
          <w:b/>
          <w:i/>
          <w:color w:val="0070C0"/>
        </w:rPr>
        <w:fldChar w:fldCharType="separate"/>
      </w:r>
      <w:r w:rsidRPr="00F973FC">
        <w:rPr>
          <w:b/>
          <w:noProof/>
          <w:color w:val="0070C0"/>
        </w:rPr>
        <w:t>2</w:t>
      </w:r>
      <w:r w:rsidRPr="00F973FC">
        <w:rPr>
          <w:b/>
          <w:i/>
          <w:color w:val="0070C0"/>
        </w:rPr>
        <w:fldChar w:fldCharType="end"/>
      </w:r>
      <w:r w:rsidRPr="00F973FC">
        <w:rPr>
          <w:b/>
          <w:color w:val="0070C0"/>
        </w:rPr>
        <w:t>.</w:t>
      </w:r>
      <w:r w:rsidRPr="00CB1079">
        <w:rPr>
          <w:b/>
        </w:rPr>
        <w:t xml:space="preserve"> </w:t>
      </w:r>
      <w:r w:rsidRPr="00F973FC">
        <w:rPr>
          <w:rFonts w:eastAsia="Times New Roman"/>
          <w:b/>
        </w:rPr>
        <w:t>Split SRBs were introduced in MR-DC systems for SRB1 and SRB2 bearers for signal</w:t>
      </w:r>
      <w:r>
        <w:rPr>
          <w:rFonts w:eastAsia="Times New Roman"/>
          <w:b/>
        </w:rPr>
        <w:t>l</w:t>
      </w:r>
      <w:r w:rsidRPr="00F973FC">
        <w:rPr>
          <w:rFonts w:eastAsia="Times New Roman"/>
          <w:b/>
        </w:rPr>
        <w:t xml:space="preserve">ing </w:t>
      </w:r>
      <w:bookmarkStart w:id="8" w:name="_GoBack"/>
      <w:bookmarkEnd w:id="8"/>
      <w:r w:rsidRPr="00F973FC">
        <w:rPr>
          <w:rFonts w:eastAsia="Times New Roman"/>
          <w:b/>
        </w:rPr>
        <w:t>robustness purposes – an RRC message can be sent in duplicate over the MN and SN links for a split SRB</w:t>
      </w:r>
      <w:r>
        <w:rPr>
          <w:rFonts w:eastAsia="Times New Roman"/>
          <w:b/>
        </w:rPr>
        <w:t>, and in the case when one of the links fail, the other link, if available, can be used to send the RRC message</w:t>
      </w:r>
      <w:r w:rsidRPr="00F973FC">
        <w:rPr>
          <w:rFonts w:eastAsia="Times New Roman"/>
          <w:b/>
        </w:rPr>
        <w:t>.</w:t>
      </w:r>
    </w:p>
    <w:p w14:paraId="6826CF5F" w14:textId="77777777" w:rsidR="008269EF" w:rsidRPr="00F973FC" w:rsidRDefault="008269EF" w:rsidP="008269EF">
      <w:pPr>
        <w:spacing w:after="0"/>
        <w:rPr>
          <w:rFonts w:eastAsia="Times New Roman"/>
          <w:b/>
          <w:bCs/>
          <w:i/>
          <w:iCs/>
        </w:rPr>
      </w:pPr>
    </w:p>
    <w:p w14:paraId="6D171E4D" w14:textId="77777777" w:rsidR="008269EF" w:rsidRDefault="00E82C5D" w:rsidP="008269EF">
      <w:pPr>
        <w:rPr>
          <w:lang w:eastAsia="ja-JP"/>
        </w:rPr>
      </w:pPr>
      <w:r w:rsidRPr="00E82C5D">
        <w:rPr>
          <w:b/>
        </w:rPr>
        <w:t xml:space="preserve"> </w:t>
      </w:r>
      <w:r w:rsidR="008269EF" w:rsidRPr="00E14B2E">
        <w:rPr>
          <w:b/>
          <w:color w:val="0070C0"/>
          <w:lang w:val="en-US"/>
        </w:rPr>
        <w:t xml:space="preserve">Proposal </w:t>
      </w:r>
      <w:r w:rsidR="008269EF" w:rsidRPr="00E14B2E">
        <w:rPr>
          <w:b/>
          <w:i/>
          <w:iCs/>
          <w:color w:val="0070C0"/>
          <w:lang w:val="en-US"/>
        </w:rPr>
        <w:fldChar w:fldCharType="begin"/>
      </w:r>
      <w:r w:rsidR="008269EF" w:rsidRPr="00E14B2E">
        <w:rPr>
          <w:b/>
          <w:color w:val="0070C0"/>
          <w:lang w:val="en-US"/>
        </w:rPr>
        <w:instrText xml:space="preserve"> SEQ Proposal \* ARABIC </w:instrText>
      </w:r>
      <w:r w:rsidR="008269EF" w:rsidRPr="00E14B2E">
        <w:rPr>
          <w:b/>
          <w:i/>
          <w:iCs/>
          <w:color w:val="0070C0"/>
          <w:lang w:val="en-US"/>
        </w:rPr>
        <w:fldChar w:fldCharType="separate"/>
      </w:r>
      <w:r w:rsidR="008269EF" w:rsidRPr="00E14B2E">
        <w:rPr>
          <w:b/>
          <w:color w:val="0070C0"/>
          <w:lang w:val="en-US"/>
        </w:rPr>
        <w:t>1</w:t>
      </w:r>
      <w:r w:rsidR="008269EF" w:rsidRPr="00E14B2E">
        <w:rPr>
          <w:b/>
          <w:i/>
          <w:iCs/>
          <w:color w:val="0070C0"/>
          <w:lang w:val="en-US"/>
        </w:rPr>
        <w:fldChar w:fldCharType="end"/>
      </w:r>
      <w:r w:rsidR="008269EF" w:rsidRPr="00E14B2E">
        <w:rPr>
          <w:b/>
          <w:color w:val="0070C0"/>
          <w:lang w:val="en-US"/>
        </w:rPr>
        <w:t>.</w:t>
      </w:r>
      <w:r w:rsidR="008269EF">
        <w:rPr>
          <w:lang w:eastAsia="ja-JP"/>
        </w:rPr>
        <w:t xml:space="preserve"> </w:t>
      </w:r>
      <w:r w:rsidR="008269EF" w:rsidRPr="00E14B2E">
        <w:rPr>
          <w:rFonts w:eastAsia="Times New Roman"/>
          <w:b/>
        </w:rPr>
        <w:t>Upon detection of MCG link failure, for the case when the link to the SN is still available, UE transmits an RRC message containing</w:t>
      </w:r>
      <w:r w:rsidR="008269EF" w:rsidRPr="00E14B2E">
        <w:rPr>
          <w:rFonts w:eastAsia="Times New Roman"/>
          <w:b/>
          <w:color w:val="FF0000"/>
        </w:rPr>
        <w:t xml:space="preserve"> </w:t>
      </w:r>
      <w:r w:rsidR="008269EF" w:rsidRPr="00E14B2E">
        <w:rPr>
          <w:rFonts w:eastAsia="Times New Roman"/>
          <w:b/>
        </w:rPr>
        <w:t>MCG failure information to the MN via SN, notifying the network of the failure of the MCG link.</w:t>
      </w:r>
      <w:r w:rsidR="008269EF">
        <w:rPr>
          <w:lang w:eastAsia="ja-JP"/>
        </w:rPr>
        <w:t xml:space="preserve">  </w:t>
      </w:r>
    </w:p>
    <w:p w14:paraId="2AF26F5A" w14:textId="77777777" w:rsidR="008269EF" w:rsidRDefault="008269EF" w:rsidP="008269EF">
      <w:pPr>
        <w:rPr>
          <w:rFonts w:eastAsia="Times New Roman"/>
          <w:b/>
        </w:rPr>
      </w:pPr>
      <w:r w:rsidRPr="00420597">
        <w:rPr>
          <w:b/>
          <w:color w:val="0070C0"/>
        </w:rPr>
        <w:t xml:space="preserve">Proposal </w:t>
      </w:r>
      <w:r w:rsidRPr="00420597">
        <w:rPr>
          <w:b/>
          <w:i/>
          <w:color w:val="0070C0"/>
        </w:rPr>
        <w:fldChar w:fldCharType="begin"/>
      </w:r>
      <w:r w:rsidRPr="00420597">
        <w:rPr>
          <w:b/>
          <w:color w:val="0070C0"/>
        </w:rPr>
        <w:instrText xml:space="preserve"> SEQ Proposal \* ARABIC </w:instrText>
      </w:r>
      <w:r w:rsidRPr="00420597">
        <w:rPr>
          <w:b/>
          <w:i/>
          <w:color w:val="0070C0"/>
        </w:rPr>
        <w:fldChar w:fldCharType="separate"/>
      </w:r>
      <w:r w:rsidRPr="00420597">
        <w:rPr>
          <w:b/>
          <w:noProof/>
          <w:color w:val="0070C0"/>
        </w:rPr>
        <w:t>2</w:t>
      </w:r>
      <w:r w:rsidRPr="00420597">
        <w:rPr>
          <w:b/>
          <w:i/>
          <w:color w:val="0070C0"/>
        </w:rPr>
        <w:fldChar w:fldCharType="end"/>
      </w:r>
      <w:r w:rsidRPr="00420597">
        <w:rPr>
          <w:b/>
          <w:i/>
          <w:color w:val="0070C0"/>
        </w:rPr>
        <w:t>.</w:t>
      </w:r>
      <w:r w:rsidRPr="00420597">
        <w:rPr>
          <w:rFonts w:eastAsia="Times New Roman"/>
        </w:rPr>
        <w:t xml:space="preserve"> </w:t>
      </w:r>
      <w:r w:rsidRPr="00420597">
        <w:rPr>
          <w:rFonts w:eastAsia="Times New Roman"/>
          <w:b/>
        </w:rPr>
        <w:t>The RRC message containing MCG failure information is sent using the split SRB1 bearer.</w:t>
      </w:r>
    </w:p>
    <w:p w14:paraId="31A6A171" w14:textId="77777777" w:rsidR="008269EF" w:rsidRDefault="008269EF" w:rsidP="008269EF">
      <w:pPr>
        <w:rPr>
          <w:rFonts w:eastAsia="Times New Roman"/>
          <w:b/>
        </w:rPr>
      </w:pPr>
      <w:r w:rsidRPr="00420597">
        <w:rPr>
          <w:b/>
          <w:color w:val="0070C0"/>
        </w:rPr>
        <w:t xml:space="preserve">Proposal </w:t>
      </w:r>
      <w:r w:rsidRPr="00420597">
        <w:rPr>
          <w:b/>
          <w:i/>
          <w:color w:val="0070C0"/>
        </w:rPr>
        <w:fldChar w:fldCharType="begin"/>
      </w:r>
      <w:r w:rsidRPr="00420597">
        <w:rPr>
          <w:b/>
          <w:color w:val="0070C0"/>
        </w:rPr>
        <w:instrText xml:space="preserve"> SEQ Proposal \* ARABIC </w:instrText>
      </w:r>
      <w:r w:rsidRPr="00420597">
        <w:rPr>
          <w:b/>
          <w:i/>
          <w:color w:val="0070C0"/>
        </w:rPr>
        <w:fldChar w:fldCharType="separate"/>
      </w:r>
      <w:r>
        <w:rPr>
          <w:b/>
          <w:noProof/>
          <w:color w:val="0070C0"/>
        </w:rPr>
        <w:t>3</w:t>
      </w:r>
      <w:r w:rsidRPr="00420597">
        <w:rPr>
          <w:b/>
          <w:i/>
          <w:color w:val="0070C0"/>
        </w:rPr>
        <w:fldChar w:fldCharType="end"/>
      </w:r>
      <w:r w:rsidRPr="00420597">
        <w:rPr>
          <w:b/>
          <w:i/>
          <w:color w:val="0070C0"/>
        </w:rPr>
        <w:t>.</w:t>
      </w:r>
      <w:r w:rsidRPr="00562E37">
        <w:rPr>
          <w:rFonts w:eastAsia="Times New Roman"/>
        </w:rPr>
        <w:t xml:space="preserve"> </w:t>
      </w:r>
      <w:r w:rsidRPr="00562E37">
        <w:rPr>
          <w:rFonts w:eastAsia="Times New Roman"/>
          <w:b/>
        </w:rPr>
        <w:t>The RRC message wit</w:t>
      </w:r>
      <w:r>
        <w:rPr>
          <w:rFonts w:eastAsia="Times New Roman"/>
          <w:b/>
        </w:rPr>
        <w:t>h</w:t>
      </w:r>
      <w:r w:rsidRPr="00562E37">
        <w:rPr>
          <w:rFonts w:eastAsia="Times New Roman"/>
          <w:b/>
        </w:rPr>
        <w:t xml:space="preserve"> MCG failure information should include the following information:</w:t>
      </w:r>
    </w:p>
    <w:p w14:paraId="608C4C68" w14:textId="77777777" w:rsidR="008269EF" w:rsidRPr="00015923" w:rsidRDefault="008269EF" w:rsidP="008269EF">
      <w:pPr>
        <w:pStyle w:val="ListParagraph"/>
        <w:numPr>
          <w:ilvl w:val="0"/>
          <w:numId w:val="20"/>
        </w:numPr>
        <w:spacing w:after="0"/>
        <w:rPr>
          <w:rFonts w:eastAsia="Times New Roman"/>
          <w:b/>
        </w:rPr>
      </w:pPr>
      <w:r w:rsidRPr="00015923">
        <w:rPr>
          <w:rFonts w:eastAsia="Times New Roman"/>
          <w:b/>
        </w:rPr>
        <w:t>Available measurement results based on measurements performed by UE on serving (MCG and SCG) and non-serving cells as specified in provided measurement configuration;</w:t>
      </w:r>
    </w:p>
    <w:p w14:paraId="469ABD61" w14:textId="43F9FB5F" w:rsidR="008269EF" w:rsidRPr="008269EF" w:rsidRDefault="008269EF" w:rsidP="008269EF">
      <w:pPr>
        <w:pStyle w:val="ListParagraph"/>
        <w:numPr>
          <w:ilvl w:val="0"/>
          <w:numId w:val="20"/>
        </w:numPr>
        <w:spacing w:after="0"/>
        <w:rPr>
          <w:rFonts w:eastAsia="Times New Roman"/>
          <w:b/>
        </w:rPr>
      </w:pPr>
      <w:r w:rsidRPr="00015923">
        <w:rPr>
          <w:rFonts w:eastAsia="Times New Roman"/>
          <w:b/>
        </w:rPr>
        <w:t>MCG link failure cause.</w:t>
      </w:r>
    </w:p>
    <w:p w14:paraId="7B5B08FF" w14:textId="0174CA78" w:rsidR="00705923" w:rsidRDefault="008269EF" w:rsidP="008269EF">
      <w:pPr>
        <w:spacing w:before="120" w:after="0"/>
        <w:rPr>
          <w:rFonts w:eastAsia="Times New Roman"/>
          <w:b/>
        </w:rPr>
      </w:pPr>
      <w:r w:rsidRPr="00420597">
        <w:rPr>
          <w:b/>
          <w:color w:val="0070C0"/>
        </w:rPr>
        <w:t xml:space="preserve">Proposal </w:t>
      </w:r>
      <w:r w:rsidRPr="00420597">
        <w:rPr>
          <w:b/>
          <w:i/>
          <w:color w:val="0070C0"/>
        </w:rPr>
        <w:fldChar w:fldCharType="begin"/>
      </w:r>
      <w:r w:rsidRPr="00420597">
        <w:rPr>
          <w:b/>
          <w:color w:val="0070C0"/>
        </w:rPr>
        <w:instrText xml:space="preserve"> SEQ Proposal \* ARABIC </w:instrText>
      </w:r>
      <w:r w:rsidRPr="00420597">
        <w:rPr>
          <w:b/>
          <w:i/>
          <w:color w:val="0070C0"/>
        </w:rPr>
        <w:fldChar w:fldCharType="separate"/>
      </w:r>
      <w:r>
        <w:rPr>
          <w:b/>
          <w:noProof/>
          <w:color w:val="0070C0"/>
        </w:rPr>
        <w:t>4</w:t>
      </w:r>
      <w:r w:rsidRPr="00420597">
        <w:rPr>
          <w:b/>
          <w:i/>
          <w:color w:val="0070C0"/>
        </w:rPr>
        <w:fldChar w:fldCharType="end"/>
      </w:r>
      <w:r w:rsidRPr="00420597">
        <w:rPr>
          <w:b/>
          <w:i/>
          <w:color w:val="0070C0"/>
        </w:rPr>
        <w:t>.</w:t>
      </w:r>
      <w:r>
        <w:rPr>
          <w:b/>
          <w:i/>
          <w:color w:val="0070C0"/>
        </w:rPr>
        <w:t xml:space="preserve"> </w:t>
      </w:r>
      <w:r w:rsidRPr="00655D6C">
        <w:rPr>
          <w:rFonts w:eastAsia="Times New Roman"/>
          <w:b/>
        </w:rPr>
        <w:t xml:space="preserve">Upon reception of the RRC message </w:t>
      </w:r>
      <w:r>
        <w:rPr>
          <w:rFonts w:eastAsia="Times New Roman"/>
          <w:b/>
        </w:rPr>
        <w:t>containing</w:t>
      </w:r>
      <w:r w:rsidRPr="00655D6C">
        <w:rPr>
          <w:rFonts w:eastAsia="Times New Roman"/>
          <w:b/>
        </w:rPr>
        <w:t xml:space="preserve"> MCG failure information, the MN may initiate a handover procedure to a target MN.</w:t>
      </w:r>
    </w:p>
    <w:p w14:paraId="78880FF2" w14:textId="77777777" w:rsidR="00302862" w:rsidRDefault="00302862" w:rsidP="008269EF">
      <w:pPr>
        <w:spacing w:before="120" w:after="0"/>
        <w:rPr>
          <w:rFonts w:eastAsia="Times New Roman"/>
          <w:b/>
        </w:rPr>
      </w:pPr>
    </w:p>
    <w:p w14:paraId="3DB7D3F8" w14:textId="77777777" w:rsidR="00302862" w:rsidRDefault="00302862" w:rsidP="00302862">
      <w:pPr>
        <w:rPr>
          <w:rFonts w:eastAsia="Times New Roman"/>
          <w:b/>
        </w:rPr>
      </w:pPr>
      <w:r w:rsidRPr="00F973FC">
        <w:rPr>
          <w:b/>
          <w:color w:val="0070C0"/>
        </w:rPr>
        <w:lastRenderedPageBreak/>
        <w:t xml:space="preserve">Observation </w:t>
      </w:r>
      <w:r w:rsidRPr="00F973FC">
        <w:rPr>
          <w:b/>
          <w:i/>
          <w:color w:val="0070C0"/>
        </w:rPr>
        <w:fldChar w:fldCharType="begin"/>
      </w:r>
      <w:r w:rsidRPr="00F973FC">
        <w:rPr>
          <w:b/>
          <w:color w:val="0070C0"/>
        </w:rPr>
        <w:instrText xml:space="preserve"> SEQ Observation \* ARABIC </w:instrText>
      </w:r>
      <w:r w:rsidRPr="00F973FC">
        <w:rPr>
          <w:b/>
          <w:i/>
          <w:color w:val="0070C0"/>
        </w:rPr>
        <w:fldChar w:fldCharType="separate"/>
      </w:r>
      <w:r>
        <w:rPr>
          <w:b/>
          <w:noProof/>
          <w:color w:val="0070C0"/>
        </w:rPr>
        <w:t>3</w:t>
      </w:r>
      <w:r w:rsidRPr="00F973FC">
        <w:rPr>
          <w:b/>
          <w:i/>
          <w:color w:val="0070C0"/>
        </w:rPr>
        <w:fldChar w:fldCharType="end"/>
      </w:r>
      <w:r w:rsidRPr="00F973FC">
        <w:rPr>
          <w:b/>
          <w:color w:val="0070C0"/>
        </w:rPr>
        <w:t>.</w:t>
      </w:r>
      <w:r>
        <w:rPr>
          <w:b/>
          <w:color w:val="0070C0"/>
        </w:rPr>
        <w:t xml:space="preserve"> </w:t>
      </w:r>
      <w:r w:rsidRPr="00433AA8">
        <w:rPr>
          <w:b/>
        </w:rPr>
        <w:t xml:space="preserve">The signalling bearer </w:t>
      </w:r>
      <w:r w:rsidRPr="00433AA8">
        <w:rPr>
          <w:rFonts w:eastAsia="Times New Roman"/>
          <w:b/>
        </w:rPr>
        <w:t xml:space="preserve">SRB3 should not be used for the </w:t>
      </w:r>
      <w:r>
        <w:rPr>
          <w:rFonts w:eastAsia="Times New Roman"/>
          <w:b/>
        </w:rPr>
        <w:t xml:space="preserve">Fast Recovery </w:t>
      </w:r>
      <w:r w:rsidRPr="00433AA8">
        <w:rPr>
          <w:rFonts w:eastAsia="Times New Roman"/>
          <w:b/>
        </w:rPr>
        <w:t xml:space="preserve">procedure because of the additional complexity involved in forwarding MCG failure notification and handover messages in new containers over the </w:t>
      </w:r>
      <w:proofErr w:type="spellStart"/>
      <w:r w:rsidRPr="00433AA8">
        <w:rPr>
          <w:rFonts w:eastAsia="Times New Roman"/>
          <w:b/>
        </w:rPr>
        <w:t>Xn</w:t>
      </w:r>
      <w:proofErr w:type="spellEnd"/>
      <w:r w:rsidRPr="00433AA8">
        <w:rPr>
          <w:rFonts w:eastAsia="Times New Roman"/>
          <w:b/>
        </w:rPr>
        <w:t>/X2 interface between the MN and SN.</w:t>
      </w:r>
    </w:p>
    <w:p w14:paraId="47E04752" w14:textId="0239E0E1" w:rsidR="00302862" w:rsidRPr="00302862" w:rsidRDefault="00302862" w:rsidP="00302862">
      <w:pPr>
        <w:rPr>
          <w:rFonts w:eastAsia="Times New Roman"/>
        </w:rPr>
      </w:pPr>
      <w:r w:rsidRPr="00420597">
        <w:rPr>
          <w:b/>
          <w:color w:val="0070C0"/>
        </w:rPr>
        <w:t xml:space="preserve">Proposal </w:t>
      </w:r>
      <w:r w:rsidRPr="00420597">
        <w:rPr>
          <w:b/>
          <w:i/>
          <w:color w:val="0070C0"/>
        </w:rPr>
        <w:fldChar w:fldCharType="begin"/>
      </w:r>
      <w:r w:rsidRPr="00420597">
        <w:rPr>
          <w:b/>
          <w:color w:val="0070C0"/>
        </w:rPr>
        <w:instrText xml:space="preserve"> SEQ Proposal \* ARABIC </w:instrText>
      </w:r>
      <w:r w:rsidRPr="00420597">
        <w:rPr>
          <w:b/>
          <w:i/>
          <w:color w:val="0070C0"/>
        </w:rPr>
        <w:fldChar w:fldCharType="separate"/>
      </w:r>
      <w:r>
        <w:rPr>
          <w:b/>
          <w:noProof/>
          <w:color w:val="0070C0"/>
        </w:rPr>
        <w:t>5</w:t>
      </w:r>
      <w:r w:rsidRPr="00420597">
        <w:rPr>
          <w:b/>
          <w:i/>
          <w:color w:val="0070C0"/>
        </w:rPr>
        <w:fldChar w:fldCharType="end"/>
      </w:r>
      <w:r w:rsidRPr="00420597">
        <w:rPr>
          <w:b/>
          <w:i/>
          <w:color w:val="0070C0"/>
        </w:rPr>
        <w:t>.</w:t>
      </w:r>
      <w:r w:rsidRPr="00433AA8">
        <w:rPr>
          <w:rFonts w:eastAsia="Times New Roman"/>
        </w:rPr>
        <w:t xml:space="preserve"> </w:t>
      </w:r>
      <w:r w:rsidRPr="00433AA8">
        <w:rPr>
          <w:rFonts w:eastAsia="Times New Roman"/>
          <w:b/>
        </w:rPr>
        <w:t>SRB3 is not used for</w:t>
      </w:r>
      <w:r>
        <w:rPr>
          <w:rFonts w:eastAsia="Times New Roman"/>
          <w:b/>
        </w:rPr>
        <w:t xml:space="preserve"> the Fast Recovery procedure</w:t>
      </w:r>
      <w:r w:rsidRPr="00433AA8">
        <w:rPr>
          <w:rFonts w:eastAsia="Times New Roman"/>
          <w:b/>
        </w:rPr>
        <w:t>.</w:t>
      </w: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7740B49C" w14:textId="501F9E55" w:rsidR="00DD0AEF" w:rsidRPr="007D6342" w:rsidRDefault="00E85CB2" w:rsidP="00AF1FCA">
      <w:pPr>
        <w:ind w:left="1350" w:hanging="1350"/>
        <w:rPr>
          <w:bCs/>
        </w:rPr>
      </w:pPr>
      <w:r w:rsidRPr="007D6342">
        <w:rPr>
          <w:bCs/>
        </w:rPr>
        <w:t>[1] RP-18</w:t>
      </w:r>
      <w:r w:rsidR="007D6342" w:rsidRPr="007D6342">
        <w:rPr>
          <w:bCs/>
        </w:rPr>
        <w:t>2076</w:t>
      </w:r>
      <w:r w:rsidRPr="007D6342">
        <w:rPr>
          <w:bCs/>
        </w:rPr>
        <w:t xml:space="preserve">   WID</w:t>
      </w:r>
      <w:r w:rsidR="007D6342" w:rsidRPr="007D6342">
        <w:rPr>
          <w:bCs/>
        </w:rPr>
        <w:t xml:space="preserve"> on Multi-RAT Dual-Connectivity and Carrier Aggregation enhancements (</w:t>
      </w:r>
      <w:proofErr w:type="spellStart"/>
      <w:r w:rsidR="007D6342" w:rsidRPr="007D6342">
        <w:rPr>
          <w:bCs/>
        </w:rPr>
        <w:t>LTE_NR_DC_CA_enh</w:t>
      </w:r>
      <w:proofErr w:type="spellEnd"/>
      <w:r w:rsidR="007D6342" w:rsidRPr="007D6342">
        <w:rPr>
          <w:bCs/>
        </w:rPr>
        <w:t>-Core)</w:t>
      </w:r>
      <w:r w:rsidR="00512C36">
        <w:rPr>
          <w:bCs/>
        </w:rPr>
        <w:t>.</w:t>
      </w:r>
    </w:p>
    <w:p w14:paraId="72E47189" w14:textId="0986D80F" w:rsidR="00971E44" w:rsidRDefault="0048485F">
      <w:r>
        <w:t xml:space="preserve">[2] </w:t>
      </w:r>
      <w:r w:rsidR="00B04138">
        <w:t>3GPP TS 37.340</w:t>
      </w:r>
      <w:r w:rsidR="00512C36">
        <w:t xml:space="preserve">: </w:t>
      </w:r>
      <w:r w:rsidR="00512C36" w:rsidRPr="00520387">
        <w:t>"</w:t>
      </w:r>
      <w:r w:rsidR="00D21734">
        <w:t xml:space="preserve">E-UTRA and </w:t>
      </w:r>
      <w:r w:rsidR="00512C36" w:rsidRPr="00520387">
        <w:t>NR; Multi-connectivity; Overall description; Stage-2".</w:t>
      </w:r>
    </w:p>
    <w:sectPr w:rsidR="00971E44" w:rsidSect="00EF58A6">
      <w:footerReference w:type="default" r:id="rId10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CC93D" w14:textId="77777777" w:rsidR="0002134D" w:rsidRDefault="0002134D">
      <w:pPr>
        <w:spacing w:after="0"/>
      </w:pPr>
      <w:r>
        <w:separator/>
      </w:r>
    </w:p>
  </w:endnote>
  <w:endnote w:type="continuationSeparator" w:id="0">
    <w:p w14:paraId="762BC467" w14:textId="77777777" w:rsidR="0002134D" w:rsidRDefault="000213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187FC" w14:textId="77777777" w:rsidR="0002134D" w:rsidRDefault="0002134D">
      <w:pPr>
        <w:spacing w:after="0"/>
      </w:pPr>
      <w:r>
        <w:separator/>
      </w:r>
    </w:p>
  </w:footnote>
  <w:footnote w:type="continuationSeparator" w:id="0">
    <w:p w14:paraId="4E6826C9" w14:textId="77777777" w:rsidR="0002134D" w:rsidRDefault="0002134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96F"/>
    <w:multiLevelType w:val="multilevel"/>
    <w:tmpl w:val="19181C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A521CC2"/>
    <w:multiLevelType w:val="hybridMultilevel"/>
    <w:tmpl w:val="CB5E7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81C8C"/>
    <w:multiLevelType w:val="hybridMultilevel"/>
    <w:tmpl w:val="D6ECCC9E"/>
    <w:lvl w:ilvl="0" w:tplc="0409000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3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4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5300" w:hanging="360"/>
      </w:pPr>
      <w:rPr>
        <w:rFonts w:ascii="Wingdings" w:hAnsi="Wingdings" w:hint="default"/>
      </w:rPr>
    </w:lvl>
  </w:abstractNum>
  <w:abstractNum w:abstractNumId="3" w15:restartNumberingAfterBreak="0">
    <w:nsid w:val="17217971"/>
    <w:multiLevelType w:val="hybridMultilevel"/>
    <w:tmpl w:val="DB4E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90292"/>
    <w:multiLevelType w:val="hybridMultilevel"/>
    <w:tmpl w:val="76FC0326"/>
    <w:lvl w:ilvl="0" w:tplc="48601DA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ED823EE2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9121F90">
      <w:start w:val="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308DF2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A9C80F6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5DA85A46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BF3259D0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DC72A96A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19ECDEA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5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 w15:restartNumberingAfterBreak="0">
    <w:nsid w:val="1E820F5B"/>
    <w:multiLevelType w:val="hybridMultilevel"/>
    <w:tmpl w:val="9FC4A3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34422"/>
    <w:multiLevelType w:val="hybridMultilevel"/>
    <w:tmpl w:val="43707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B3D0B"/>
    <w:multiLevelType w:val="hybridMultilevel"/>
    <w:tmpl w:val="1F3825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347428"/>
    <w:multiLevelType w:val="hybridMultilevel"/>
    <w:tmpl w:val="F4B08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1" w15:restartNumberingAfterBreak="0">
    <w:nsid w:val="52A01825"/>
    <w:multiLevelType w:val="hybridMultilevel"/>
    <w:tmpl w:val="6B7E3A26"/>
    <w:lvl w:ilvl="0" w:tplc="04090003">
      <w:start w:val="1"/>
      <w:numFmt w:val="bullet"/>
      <w:lvlText w:val="o"/>
      <w:lvlJc w:val="left"/>
      <w:pPr>
        <w:ind w:left="825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2" w15:restartNumberingAfterBreak="0">
    <w:nsid w:val="5814488E"/>
    <w:multiLevelType w:val="hybridMultilevel"/>
    <w:tmpl w:val="76E23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97761C"/>
    <w:multiLevelType w:val="hybridMultilevel"/>
    <w:tmpl w:val="DC10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5A6D1B"/>
    <w:multiLevelType w:val="hybridMultilevel"/>
    <w:tmpl w:val="A9801256"/>
    <w:lvl w:ilvl="0" w:tplc="04EC4508">
      <w:start w:val="1"/>
      <w:numFmt w:val="bullet"/>
      <w:lvlText w:val="•"/>
      <w:lvlJc w:val="left"/>
      <w:pPr>
        <w:ind w:left="1080" w:hanging="7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0"/>
  </w:num>
  <w:num w:numId="7">
    <w:abstractNumId w:val="0"/>
  </w:num>
  <w:num w:numId="8">
    <w:abstractNumId w:val="13"/>
  </w:num>
  <w:num w:numId="9">
    <w:abstractNumId w:val="8"/>
  </w:num>
  <w:num w:numId="10">
    <w:abstractNumId w:val="1"/>
  </w:num>
  <w:num w:numId="11">
    <w:abstractNumId w:val="0"/>
  </w:num>
  <w:num w:numId="12">
    <w:abstractNumId w:val="15"/>
  </w:num>
  <w:num w:numId="13">
    <w:abstractNumId w:val="1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4"/>
  </w:num>
  <w:num w:numId="17">
    <w:abstractNumId w:val="7"/>
  </w:num>
  <w:num w:numId="18">
    <w:abstractNumId w:val="9"/>
  </w:num>
  <w:num w:numId="19">
    <w:abstractNumId w:val="14"/>
  </w:num>
  <w:num w:numId="20">
    <w:abstractNumId w:val="11"/>
  </w:num>
  <w:num w:numId="21">
    <w:abstractNumId w:val="16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546D"/>
    <w:rsid w:val="00012CB3"/>
    <w:rsid w:val="00015923"/>
    <w:rsid w:val="0002134D"/>
    <w:rsid w:val="00024406"/>
    <w:rsid w:val="00026268"/>
    <w:rsid w:val="00036628"/>
    <w:rsid w:val="000616F7"/>
    <w:rsid w:val="00062FAF"/>
    <w:rsid w:val="0007084B"/>
    <w:rsid w:val="00085D6C"/>
    <w:rsid w:val="00093832"/>
    <w:rsid w:val="00096750"/>
    <w:rsid w:val="000F127B"/>
    <w:rsid w:val="000F218C"/>
    <w:rsid w:val="000F32DC"/>
    <w:rsid w:val="0011208D"/>
    <w:rsid w:val="00121EC5"/>
    <w:rsid w:val="00140B01"/>
    <w:rsid w:val="001413EB"/>
    <w:rsid w:val="00167317"/>
    <w:rsid w:val="00177AD4"/>
    <w:rsid w:val="0018594C"/>
    <w:rsid w:val="001A2948"/>
    <w:rsid w:val="001A32C1"/>
    <w:rsid w:val="001B3B14"/>
    <w:rsid w:val="001E66ED"/>
    <w:rsid w:val="001F54E1"/>
    <w:rsid w:val="0021098B"/>
    <w:rsid w:val="0022650B"/>
    <w:rsid w:val="00227643"/>
    <w:rsid w:val="00234478"/>
    <w:rsid w:val="00242C9C"/>
    <w:rsid w:val="002519BA"/>
    <w:rsid w:val="00254273"/>
    <w:rsid w:val="00293B03"/>
    <w:rsid w:val="002E6A4A"/>
    <w:rsid w:val="0030188D"/>
    <w:rsid w:val="00302862"/>
    <w:rsid w:val="003058BC"/>
    <w:rsid w:val="003104CB"/>
    <w:rsid w:val="003205FB"/>
    <w:rsid w:val="0033520C"/>
    <w:rsid w:val="00364CFF"/>
    <w:rsid w:val="00376B24"/>
    <w:rsid w:val="003824AF"/>
    <w:rsid w:val="003852BF"/>
    <w:rsid w:val="003A047C"/>
    <w:rsid w:val="003B10D1"/>
    <w:rsid w:val="003B74D9"/>
    <w:rsid w:val="003C2FD7"/>
    <w:rsid w:val="003C7B12"/>
    <w:rsid w:val="003C7B67"/>
    <w:rsid w:val="003D0207"/>
    <w:rsid w:val="003D1617"/>
    <w:rsid w:val="003F541F"/>
    <w:rsid w:val="00401270"/>
    <w:rsid w:val="004178BE"/>
    <w:rsid w:val="00420597"/>
    <w:rsid w:val="004250FB"/>
    <w:rsid w:val="00427D5E"/>
    <w:rsid w:val="00433AA8"/>
    <w:rsid w:val="00436137"/>
    <w:rsid w:val="00460455"/>
    <w:rsid w:val="004642EE"/>
    <w:rsid w:val="0047323C"/>
    <w:rsid w:val="0048485F"/>
    <w:rsid w:val="0049181D"/>
    <w:rsid w:val="004B2F34"/>
    <w:rsid w:val="004B3FFC"/>
    <w:rsid w:val="004C4B75"/>
    <w:rsid w:val="004D7435"/>
    <w:rsid w:val="004F28C2"/>
    <w:rsid w:val="004F3FC3"/>
    <w:rsid w:val="00505B01"/>
    <w:rsid w:val="00512905"/>
    <w:rsid w:val="00512C36"/>
    <w:rsid w:val="00512F07"/>
    <w:rsid w:val="00533E06"/>
    <w:rsid w:val="0054246F"/>
    <w:rsid w:val="00553150"/>
    <w:rsid w:val="00562E37"/>
    <w:rsid w:val="00573A5B"/>
    <w:rsid w:val="005A39A1"/>
    <w:rsid w:val="005A5996"/>
    <w:rsid w:val="005C3518"/>
    <w:rsid w:val="005E1D2F"/>
    <w:rsid w:val="005F16CC"/>
    <w:rsid w:val="005F42B5"/>
    <w:rsid w:val="006254E6"/>
    <w:rsid w:val="00626293"/>
    <w:rsid w:val="00650CB6"/>
    <w:rsid w:val="00650CD5"/>
    <w:rsid w:val="00655D6C"/>
    <w:rsid w:val="00680310"/>
    <w:rsid w:val="00683ECA"/>
    <w:rsid w:val="006C63F4"/>
    <w:rsid w:val="006E2452"/>
    <w:rsid w:val="006E5733"/>
    <w:rsid w:val="00705923"/>
    <w:rsid w:val="00707715"/>
    <w:rsid w:val="00710AC5"/>
    <w:rsid w:val="00722519"/>
    <w:rsid w:val="00750265"/>
    <w:rsid w:val="00775E62"/>
    <w:rsid w:val="00795A12"/>
    <w:rsid w:val="007A4DC2"/>
    <w:rsid w:val="007A69A5"/>
    <w:rsid w:val="007B27B4"/>
    <w:rsid w:val="007B5E1B"/>
    <w:rsid w:val="007D19CF"/>
    <w:rsid w:val="007D6342"/>
    <w:rsid w:val="007E00F0"/>
    <w:rsid w:val="007E7279"/>
    <w:rsid w:val="007F55EA"/>
    <w:rsid w:val="008269EF"/>
    <w:rsid w:val="00850C0B"/>
    <w:rsid w:val="008553D2"/>
    <w:rsid w:val="0086028E"/>
    <w:rsid w:val="00880D1C"/>
    <w:rsid w:val="00893384"/>
    <w:rsid w:val="008A353E"/>
    <w:rsid w:val="009466A2"/>
    <w:rsid w:val="00961CBB"/>
    <w:rsid w:val="00963F4A"/>
    <w:rsid w:val="00971E44"/>
    <w:rsid w:val="00975686"/>
    <w:rsid w:val="00980503"/>
    <w:rsid w:val="00990A04"/>
    <w:rsid w:val="009A5908"/>
    <w:rsid w:val="009C6FC9"/>
    <w:rsid w:val="009E227A"/>
    <w:rsid w:val="009E550C"/>
    <w:rsid w:val="009E69FD"/>
    <w:rsid w:val="00A00C9F"/>
    <w:rsid w:val="00A22D96"/>
    <w:rsid w:val="00A31370"/>
    <w:rsid w:val="00A66236"/>
    <w:rsid w:val="00A827A3"/>
    <w:rsid w:val="00A83C7A"/>
    <w:rsid w:val="00A870EB"/>
    <w:rsid w:val="00A91DFD"/>
    <w:rsid w:val="00A977E8"/>
    <w:rsid w:val="00AD3749"/>
    <w:rsid w:val="00AF1FCA"/>
    <w:rsid w:val="00B03FA0"/>
    <w:rsid w:val="00B04138"/>
    <w:rsid w:val="00B741A8"/>
    <w:rsid w:val="00B86FD8"/>
    <w:rsid w:val="00BE26FA"/>
    <w:rsid w:val="00C67447"/>
    <w:rsid w:val="00CA3A08"/>
    <w:rsid w:val="00CB1079"/>
    <w:rsid w:val="00CC0FC4"/>
    <w:rsid w:val="00CF77BD"/>
    <w:rsid w:val="00D12D5B"/>
    <w:rsid w:val="00D21235"/>
    <w:rsid w:val="00D21734"/>
    <w:rsid w:val="00D30EA1"/>
    <w:rsid w:val="00D50293"/>
    <w:rsid w:val="00D65C0D"/>
    <w:rsid w:val="00DB20BC"/>
    <w:rsid w:val="00DB5926"/>
    <w:rsid w:val="00DB6BB3"/>
    <w:rsid w:val="00DC46C0"/>
    <w:rsid w:val="00DD0AEF"/>
    <w:rsid w:val="00E14B2E"/>
    <w:rsid w:val="00E210B9"/>
    <w:rsid w:val="00E55FCA"/>
    <w:rsid w:val="00E8044F"/>
    <w:rsid w:val="00E82C5D"/>
    <w:rsid w:val="00E85CB2"/>
    <w:rsid w:val="00E93B67"/>
    <w:rsid w:val="00EA44E9"/>
    <w:rsid w:val="00EE2B05"/>
    <w:rsid w:val="00EF22BD"/>
    <w:rsid w:val="00EF58A6"/>
    <w:rsid w:val="00F22B1F"/>
    <w:rsid w:val="00F3583E"/>
    <w:rsid w:val="00F57767"/>
    <w:rsid w:val="00F63B80"/>
    <w:rsid w:val="00F91A00"/>
    <w:rsid w:val="00F973FC"/>
    <w:rsid w:val="00FB34CA"/>
    <w:rsid w:val="00FC03E5"/>
    <w:rsid w:val="00FE0D57"/>
    <w:rsid w:val="00FF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85CB2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1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1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1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1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1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1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1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1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539C4-9658-44D8-B0AF-F4CA148D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80</cp:revision>
  <dcterms:created xsi:type="dcterms:W3CDTF">2019-02-01T01:43:00Z</dcterms:created>
  <dcterms:modified xsi:type="dcterms:W3CDTF">2019-02-14T07:14:00Z</dcterms:modified>
</cp:coreProperties>
</file>